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FE18" w14:textId="5ADE6909" w:rsidR="00EF34CD" w:rsidRDefault="00EF34CD" w:rsidP="00EF34CD">
      <w:pPr>
        <w:spacing w:after="0" w:line="240" w:lineRule="auto"/>
        <w:rPr>
          <w:rFonts w:ascii="Arial" w:hAnsi="Arial" w:cs="Arial"/>
          <w:b/>
          <w:sz w:val="24"/>
          <w:szCs w:val="24"/>
        </w:rPr>
      </w:pPr>
      <w:r w:rsidRPr="00EF34CD">
        <w:rPr>
          <w:rFonts w:ascii="Arial" w:hAnsi="Arial" w:cs="Arial"/>
          <w:b/>
          <w:sz w:val="24"/>
          <w:szCs w:val="24"/>
        </w:rPr>
        <w:t>Paper No. 4.2</w:t>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r>
      <w:r w:rsidRPr="00EF34CD">
        <w:rPr>
          <w:rFonts w:ascii="Arial" w:hAnsi="Arial" w:cs="Arial"/>
          <w:b/>
          <w:sz w:val="24"/>
          <w:szCs w:val="24"/>
        </w:rPr>
        <w:tab/>
        <w:t>Paper for Discussion</w:t>
      </w:r>
    </w:p>
    <w:p w14:paraId="2170556A" w14:textId="6D89807F" w:rsidR="00EF34CD" w:rsidRDefault="00EF34CD" w:rsidP="00EF34CD">
      <w:pPr>
        <w:spacing w:after="0" w:line="240" w:lineRule="auto"/>
        <w:rPr>
          <w:rFonts w:ascii="Arial" w:hAnsi="Arial" w:cs="Arial"/>
          <w:b/>
          <w:sz w:val="24"/>
          <w:szCs w:val="24"/>
        </w:rPr>
      </w:pPr>
    </w:p>
    <w:p w14:paraId="4F1382CB" w14:textId="5A1B796A" w:rsidR="00EF34CD" w:rsidRDefault="00EF34CD" w:rsidP="00EF34CD">
      <w:pPr>
        <w:spacing w:after="0" w:line="240" w:lineRule="auto"/>
        <w:rPr>
          <w:rFonts w:ascii="Arial" w:hAnsi="Arial" w:cs="Arial"/>
          <w:b/>
          <w:sz w:val="24"/>
          <w:szCs w:val="24"/>
        </w:rPr>
      </w:pPr>
      <w:r>
        <w:rPr>
          <w:rFonts w:ascii="Arial" w:hAnsi="Arial" w:cs="Arial"/>
          <w:b/>
          <w:sz w:val="24"/>
          <w:szCs w:val="24"/>
        </w:rPr>
        <w:t>Demersal Working Group</w:t>
      </w:r>
    </w:p>
    <w:p w14:paraId="6B0DB7DD" w14:textId="24D551AB" w:rsidR="00EF34CD" w:rsidRPr="00EF34CD" w:rsidRDefault="00EF34CD" w:rsidP="00EF34CD">
      <w:pPr>
        <w:spacing w:after="0" w:line="240" w:lineRule="auto"/>
        <w:rPr>
          <w:rFonts w:ascii="Arial" w:hAnsi="Arial" w:cs="Arial"/>
          <w:b/>
          <w:sz w:val="24"/>
          <w:szCs w:val="24"/>
        </w:rPr>
      </w:pPr>
      <w:r>
        <w:rPr>
          <w:rFonts w:ascii="Arial" w:hAnsi="Arial" w:cs="Arial"/>
          <w:b/>
          <w:sz w:val="24"/>
          <w:szCs w:val="24"/>
        </w:rPr>
        <w:t>19</w:t>
      </w:r>
      <w:r w:rsidRPr="00EF34CD">
        <w:rPr>
          <w:rFonts w:ascii="Arial" w:hAnsi="Arial" w:cs="Arial"/>
          <w:b/>
          <w:sz w:val="24"/>
          <w:szCs w:val="24"/>
          <w:vertAlign w:val="superscript"/>
        </w:rPr>
        <w:t>th</w:t>
      </w:r>
      <w:r>
        <w:rPr>
          <w:rFonts w:ascii="Arial" w:hAnsi="Arial" w:cs="Arial"/>
          <w:b/>
          <w:sz w:val="24"/>
          <w:szCs w:val="24"/>
        </w:rPr>
        <w:t xml:space="preserve"> April 2018</w:t>
      </w:r>
    </w:p>
    <w:p w14:paraId="30451FE6" w14:textId="77777777" w:rsidR="00EF34CD" w:rsidRPr="00EF34CD" w:rsidRDefault="00EF34CD" w:rsidP="00235686">
      <w:pPr>
        <w:spacing w:after="0" w:line="240" w:lineRule="auto"/>
        <w:jc w:val="center"/>
        <w:rPr>
          <w:rFonts w:ascii="Arial" w:hAnsi="Arial" w:cs="Arial"/>
          <w:b/>
          <w:u w:val="single"/>
        </w:rPr>
      </w:pPr>
    </w:p>
    <w:p w14:paraId="53754E8F" w14:textId="2EE8B3C4" w:rsidR="00235686" w:rsidRPr="00EF34CD" w:rsidRDefault="00235686" w:rsidP="00235686">
      <w:pPr>
        <w:spacing w:after="0" w:line="240" w:lineRule="auto"/>
        <w:jc w:val="center"/>
        <w:rPr>
          <w:rFonts w:ascii="Arial" w:hAnsi="Arial" w:cs="Arial"/>
          <w:b/>
          <w:u w:val="single"/>
        </w:rPr>
      </w:pPr>
      <w:r w:rsidRPr="00EF34CD">
        <w:rPr>
          <w:rFonts w:ascii="Arial" w:hAnsi="Arial" w:cs="Arial"/>
          <w:b/>
          <w:u w:val="single"/>
        </w:rPr>
        <w:t>NSAC Advice in Development</w:t>
      </w:r>
    </w:p>
    <w:p w14:paraId="5653A2CF" w14:textId="77777777" w:rsidR="00235686" w:rsidRPr="00EF34CD" w:rsidRDefault="00235686" w:rsidP="00235686">
      <w:pPr>
        <w:spacing w:after="0" w:line="240" w:lineRule="auto"/>
        <w:jc w:val="center"/>
        <w:rPr>
          <w:rFonts w:ascii="Arial" w:hAnsi="Arial" w:cs="Arial"/>
          <w:b/>
          <w:u w:val="single"/>
        </w:rPr>
      </w:pPr>
    </w:p>
    <w:p w14:paraId="6199B763" w14:textId="77777777" w:rsidR="00235686" w:rsidRPr="00EF34CD" w:rsidRDefault="00235686" w:rsidP="00235686">
      <w:pPr>
        <w:jc w:val="center"/>
        <w:rPr>
          <w:rFonts w:ascii="Arial" w:hAnsi="Arial" w:cs="Arial"/>
        </w:rPr>
      </w:pPr>
      <w:r w:rsidRPr="00EF34CD">
        <w:rPr>
          <w:rFonts w:ascii="Arial" w:hAnsi="Arial" w:cs="Arial"/>
          <w:b/>
          <w:color w:val="FF0000"/>
          <w:u w:val="single"/>
        </w:rPr>
        <w:t>This is paper is NOT approved NSAC advice.</w:t>
      </w:r>
    </w:p>
    <w:p w14:paraId="611D4926" w14:textId="239C6C80" w:rsidR="00235686" w:rsidRPr="00EF34CD" w:rsidRDefault="00235686" w:rsidP="00235686">
      <w:pPr>
        <w:spacing w:after="0" w:line="240" w:lineRule="auto"/>
        <w:rPr>
          <w:rFonts w:ascii="Arial" w:hAnsi="Arial" w:cs="Arial"/>
          <w:b/>
        </w:rPr>
      </w:pPr>
      <w:r w:rsidRPr="00EF34CD">
        <w:rPr>
          <w:rFonts w:ascii="Arial" w:hAnsi="Arial" w:cs="Arial"/>
          <w:b/>
        </w:rPr>
        <w:t>This paper</w:t>
      </w:r>
      <w:r w:rsidR="00EF34CD" w:rsidRPr="00EF34CD">
        <w:rPr>
          <w:rFonts w:ascii="Arial" w:hAnsi="Arial" w:cs="Arial"/>
          <w:b/>
        </w:rPr>
        <w:t xml:space="preserve"> will be discussed at the Demersal Working Group meeting on the 19</w:t>
      </w:r>
      <w:r w:rsidR="00EF34CD" w:rsidRPr="00EF34CD">
        <w:rPr>
          <w:rFonts w:ascii="Arial" w:hAnsi="Arial" w:cs="Arial"/>
          <w:b/>
          <w:vertAlign w:val="superscript"/>
        </w:rPr>
        <w:t>th</w:t>
      </w:r>
      <w:r w:rsidR="00EF34CD" w:rsidRPr="00EF34CD">
        <w:rPr>
          <w:rFonts w:ascii="Arial" w:hAnsi="Arial" w:cs="Arial"/>
          <w:b/>
        </w:rPr>
        <w:t xml:space="preserve"> April 2019.</w:t>
      </w:r>
    </w:p>
    <w:p w14:paraId="01865E87" w14:textId="77777777" w:rsidR="00235686" w:rsidRPr="00EF34CD" w:rsidRDefault="00235686">
      <w:pPr>
        <w:rPr>
          <w:rFonts w:ascii="Arial" w:hAnsi="Arial" w:cs="Arial"/>
          <w:b/>
        </w:rPr>
      </w:pPr>
    </w:p>
    <w:p w14:paraId="4DFD4E85" w14:textId="1AE50682" w:rsidR="00753AD4" w:rsidRPr="00EF34CD" w:rsidRDefault="00342D10">
      <w:pPr>
        <w:rPr>
          <w:rFonts w:ascii="Arial" w:hAnsi="Arial" w:cs="Arial"/>
        </w:rPr>
      </w:pPr>
      <w:r w:rsidRPr="00EF34CD">
        <w:rPr>
          <w:rFonts w:ascii="Arial" w:hAnsi="Arial" w:cs="Arial"/>
          <w:b/>
        </w:rPr>
        <w:t>Note for Sch Tech Group meeting 11</w:t>
      </w:r>
      <w:r w:rsidRPr="00EF34CD">
        <w:rPr>
          <w:rFonts w:ascii="Arial" w:hAnsi="Arial" w:cs="Arial"/>
          <w:b/>
          <w:vertAlign w:val="superscript"/>
        </w:rPr>
        <w:t>th</w:t>
      </w:r>
      <w:r w:rsidRPr="00EF34CD">
        <w:rPr>
          <w:rFonts w:ascii="Arial" w:hAnsi="Arial" w:cs="Arial"/>
          <w:b/>
        </w:rPr>
        <w:t xml:space="preserve"> April 2018 </w:t>
      </w:r>
    </w:p>
    <w:tbl>
      <w:tblPr>
        <w:tblStyle w:val="TableGrid"/>
        <w:tblW w:w="14125" w:type="dxa"/>
        <w:tblLook w:val="04A0" w:firstRow="1" w:lastRow="0" w:firstColumn="1" w:lastColumn="0" w:noHBand="0" w:noVBand="1"/>
      </w:tblPr>
      <w:tblGrid>
        <w:gridCol w:w="2233"/>
        <w:gridCol w:w="1170"/>
        <w:gridCol w:w="2712"/>
        <w:gridCol w:w="1930"/>
        <w:gridCol w:w="1791"/>
        <w:gridCol w:w="2946"/>
        <w:gridCol w:w="1343"/>
      </w:tblGrid>
      <w:tr w:rsidR="001264FC" w14:paraId="2F17C945" w14:textId="77777777" w:rsidTr="001264FC">
        <w:tc>
          <w:tcPr>
            <w:tcW w:w="2233" w:type="dxa"/>
            <w:vMerge w:val="restart"/>
          </w:tcPr>
          <w:p w14:paraId="09BA3037" w14:textId="77777777" w:rsidR="00342D10" w:rsidRPr="00342D10" w:rsidRDefault="00342D10">
            <w:pPr>
              <w:rPr>
                <w:rFonts w:ascii="Arial" w:hAnsi="Arial" w:cs="Arial"/>
                <w:b/>
              </w:rPr>
            </w:pPr>
            <w:bookmarkStart w:id="0" w:name="_Hlk511041824"/>
            <w:r w:rsidRPr="00342D10">
              <w:rPr>
                <w:rFonts w:ascii="Arial" w:hAnsi="Arial" w:cs="Arial"/>
                <w:b/>
              </w:rPr>
              <w:t>Species</w:t>
            </w:r>
          </w:p>
        </w:tc>
        <w:tc>
          <w:tcPr>
            <w:tcW w:w="1170" w:type="dxa"/>
            <w:vMerge w:val="restart"/>
          </w:tcPr>
          <w:p w14:paraId="46D87709" w14:textId="77777777" w:rsidR="00342D10" w:rsidRPr="00342D10" w:rsidRDefault="00342D10">
            <w:pPr>
              <w:rPr>
                <w:rFonts w:ascii="Arial" w:hAnsi="Arial" w:cs="Arial"/>
                <w:b/>
              </w:rPr>
            </w:pPr>
            <w:r w:rsidRPr="00342D10">
              <w:rPr>
                <w:rFonts w:ascii="Arial" w:hAnsi="Arial" w:cs="Arial"/>
                <w:b/>
              </w:rPr>
              <w:t>Choke Category</w:t>
            </w:r>
          </w:p>
        </w:tc>
        <w:tc>
          <w:tcPr>
            <w:tcW w:w="6433" w:type="dxa"/>
            <w:gridSpan w:val="3"/>
          </w:tcPr>
          <w:p w14:paraId="795B71ED" w14:textId="77777777" w:rsidR="00342D10" w:rsidRPr="00342D10" w:rsidRDefault="00342D10">
            <w:pPr>
              <w:rPr>
                <w:rFonts w:ascii="Arial" w:hAnsi="Arial" w:cs="Arial"/>
                <w:b/>
              </w:rPr>
            </w:pPr>
            <w:r w:rsidRPr="00342D10">
              <w:rPr>
                <w:rFonts w:ascii="Arial" w:hAnsi="Arial" w:cs="Arial"/>
                <w:b/>
              </w:rPr>
              <w:t>Measures within the Joint Recommendation</w:t>
            </w:r>
          </w:p>
          <w:p w14:paraId="442E9340" w14:textId="77777777" w:rsidR="00342D10" w:rsidRPr="00342D10" w:rsidRDefault="00342D10">
            <w:pPr>
              <w:rPr>
                <w:rFonts w:ascii="Arial" w:hAnsi="Arial" w:cs="Arial"/>
                <w:b/>
              </w:rPr>
            </w:pPr>
          </w:p>
        </w:tc>
        <w:tc>
          <w:tcPr>
            <w:tcW w:w="2946" w:type="dxa"/>
            <w:vMerge w:val="restart"/>
          </w:tcPr>
          <w:p w14:paraId="49D3C55B" w14:textId="77777777" w:rsidR="00342D10" w:rsidRPr="00342D10" w:rsidRDefault="00342D10">
            <w:pPr>
              <w:rPr>
                <w:rFonts w:ascii="Arial" w:hAnsi="Arial" w:cs="Arial"/>
                <w:b/>
              </w:rPr>
            </w:pPr>
            <w:r w:rsidRPr="00342D10">
              <w:rPr>
                <w:rFonts w:ascii="Arial" w:hAnsi="Arial" w:cs="Arial"/>
                <w:b/>
              </w:rPr>
              <w:t>Choke can be resolved within the JR</w:t>
            </w:r>
          </w:p>
        </w:tc>
        <w:tc>
          <w:tcPr>
            <w:tcW w:w="1343" w:type="dxa"/>
            <w:vMerge w:val="restart"/>
          </w:tcPr>
          <w:p w14:paraId="5C471C5B" w14:textId="77777777" w:rsidR="00342D10" w:rsidRPr="00342D10" w:rsidRDefault="00342D10">
            <w:pPr>
              <w:rPr>
                <w:rFonts w:ascii="Arial" w:hAnsi="Arial" w:cs="Arial"/>
                <w:b/>
              </w:rPr>
            </w:pPr>
            <w:r w:rsidRPr="00342D10">
              <w:rPr>
                <w:rFonts w:ascii="Arial" w:hAnsi="Arial" w:cs="Arial"/>
                <w:b/>
              </w:rPr>
              <w:t>Solution may be out with the JR</w:t>
            </w:r>
          </w:p>
        </w:tc>
      </w:tr>
      <w:bookmarkEnd w:id="0"/>
      <w:tr w:rsidR="00956425" w14:paraId="3127D5BC" w14:textId="77777777" w:rsidTr="001264FC">
        <w:tc>
          <w:tcPr>
            <w:tcW w:w="2233" w:type="dxa"/>
            <w:vMerge/>
          </w:tcPr>
          <w:p w14:paraId="3E91195C" w14:textId="77777777" w:rsidR="00342D10" w:rsidRDefault="00342D10">
            <w:pPr>
              <w:rPr>
                <w:rFonts w:ascii="Arial" w:hAnsi="Arial" w:cs="Arial"/>
              </w:rPr>
            </w:pPr>
          </w:p>
        </w:tc>
        <w:tc>
          <w:tcPr>
            <w:tcW w:w="1170" w:type="dxa"/>
            <w:vMerge/>
          </w:tcPr>
          <w:p w14:paraId="5F86A83A" w14:textId="77777777" w:rsidR="00342D10" w:rsidRDefault="00342D10">
            <w:pPr>
              <w:rPr>
                <w:rFonts w:ascii="Arial" w:hAnsi="Arial" w:cs="Arial"/>
              </w:rPr>
            </w:pPr>
          </w:p>
        </w:tc>
        <w:tc>
          <w:tcPr>
            <w:tcW w:w="2712" w:type="dxa"/>
          </w:tcPr>
          <w:p w14:paraId="4BF08FB0" w14:textId="77777777" w:rsidR="00342D10" w:rsidRPr="003944F7" w:rsidRDefault="00342D10">
            <w:pPr>
              <w:rPr>
                <w:rFonts w:ascii="Arial" w:hAnsi="Arial" w:cs="Arial"/>
                <w:b/>
              </w:rPr>
            </w:pPr>
            <w:r w:rsidRPr="003944F7">
              <w:rPr>
                <w:rFonts w:ascii="Arial" w:hAnsi="Arial" w:cs="Arial"/>
                <w:b/>
              </w:rPr>
              <w:t>High Survival</w:t>
            </w:r>
          </w:p>
        </w:tc>
        <w:tc>
          <w:tcPr>
            <w:tcW w:w="1930" w:type="dxa"/>
          </w:tcPr>
          <w:p w14:paraId="66C52BE0" w14:textId="77777777" w:rsidR="00342D10" w:rsidRPr="003944F7" w:rsidRDefault="00342D10">
            <w:pPr>
              <w:rPr>
                <w:rFonts w:ascii="Arial" w:hAnsi="Arial" w:cs="Arial"/>
                <w:b/>
              </w:rPr>
            </w:pPr>
            <w:r w:rsidRPr="003944F7">
              <w:rPr>
                <w:rFonts w:ascii="Arial" w:hAnsi="Arial" w:cs="Arial"/>
                <w:b/>
              </w:rPr>
              <w:t>De Minimis</w:t>
            </w:r>
          </w:p>
        </w:tc>
        <w:tc>
          <w:tcPr>
            <w:tcW w:w="1791" w:type="dxa"/>
          </w:tcPr>
          <w:p w14:paraId="35312185" w14:textId="77777777" w:rsidR="00342D10" w:rsidRPr="003944F7" w:rsidRDefault="00342D10">
            <w:pPr>
              <w:rPr>
                <w:rFonts w:ascii="Arial" w:hAnsi="Arial" w:cs="Arial"/>
                <w:b/>
              </w:rPr>
            </w:pPr>
            <w:r w:rsidRPr="003944F7">
              <w:rPr>
                <w:rFonts w:ascii="Arial" w:hAnsi="Arial" w:cs="Arial"/>
                <w:b/>
              </w:rPr>
              <w:t>Inter Species Flexibility</w:t>
            </w:r>
          </w:p>
        </w:tc>
        <w:tc>
          <w:tcPr>
            <w:tcW w:w="2946" w:type="dxa"/>
            <w:vMerge/>
          </w:tcPr>
          <w:p w14:paraId="38DFA96F" w14:textId="77777777" w:rsidR="00342D10" w:rsidRDefault="00342D10">
            <w:pPr>
              <w:rPr>
                <w:rFonts w:ascii="Arial" w:hAnsi="Arial" w:cs="Arial"/>
              </w:rPr>
            </w:pPr>
          </w:p>
        </w:tc>
        <w:tc>
          <w:tcPr>
            <w:tcW w:w="1343" w:type="dxa"/>
            <w:vMerge/>
          </w:tcPr>
          <w:p w14:paraId="7773D10D" w14:textId="77777777" w:rsidR="00342D10" w:rsidRDefault="00342D10">
            <w:pPr>
              <w:rPr>
                <w:rFonts w:ascii="Arial" w:hAnsi="Arial" w:cs="Arial"/>
              </w:rPr>
            </w:pPr>
          </w:p>
        </w:tc>
      </w:tr>
      <w:tr w:rsidR="00263A22" w14:paraId="0578EB73" w14:textId="77777777" w:rsidTr="001264FC">
        <w:tc>
          <w:tcPr>
            <w:tcW w:w="2233" w:type="dxa"/>
          </w:tcPr>
          <w:p w14:paraId="603F6A6E" w14:textId="77777777" w:rsidR="00342D10" w:rsidRPr="00941418" w:rsidRDefault="002F1A5F" w:rsidP="00941418">
            <w:pPr>
              <w:rPr>
                <w:rFonts w:ascii="Arial" w:hAnsi="Arial" w:cs="Arial"/>
                <w:sz w:val="18"/>
                <w:szCs w:val="18"/>
              </w:rPr>
            </w:pPr>
            <w:r w:rsidRPr="00941418">
              <w:rPr>
                <w:rFonts w:ascii="Arial" w:hAnsi="Arial" w:cs="Arial"/>
                <w:b/>
                <w:bCs/>
                <w:sz w:val="18"/>
                <w:szCs w:val="18"/>
              </w:rPr>
              <w:t xml:space="preserve">Cod </w:t>
            </w:r>
            <w:r w:rsidRPr="00941418">
              <w:rPr>
                <w:rFonts w:ascii="Arial" w:hAnsi="Arial" w:cs="Arial"/>
                <w:bCs/>
                <w:sz w:val="18"/>
                <w:szCs w:val="18"/>
              </w:rPr>
              <w:t>(</w:t>
            </w:r>
            <w:proofErr w:type="spellStart"/>
            <w:r w:rsidRPr="00941418">
              <w:rPr>
                <w:rFonts w:ascii="Arial" w:hAnsi="Arial" w:cs="Arial"/>
                <w:bCs/>
                <w:i/>
                <w:iCs/>
                <w:sz w:val="18"/>
                <w:szCs w:val="18"/>
              </w:rPr>
              <w:t>Gadus</w:t>
            </w:r>
            <w:proofErr w:type="spellEnd"/>
            <w:r w:rsidRPr="00941418">
              <w:rPr>
                <w:rFonts w:ascii="Arial" w:hAnsi="Arial" w:cs="Arial"/>
                <w:bCs/>
                <w:i/>
                <w:iCs/>
                <w:sz w:val="18"/>
                <w:szCs w:val="18"/>
              </w:rPr>
              <w:t xml:space="preserve"> </w:t>
            </w:r>
            <w:proofErr w:type="spellStart"/>
            <w:r w:rsidRPr="00941418">
              <w:rPr>
                <w:rFonts w:ascii="Arial" w:hAnsi="Arial" w:cs="Arial"/>
                <w:bCs/>
                <w:i/>
                <w:iCs/>
                <w:sz w:val="18"/>
                <w:szCs w:val="18"/>
              </w:rPr>
              <w:t>morhua</w:t>
            </w:r>
            <w:proofErr w:type="spellEnd"/>
            <w:r w:rsidRPr="00941418">
              <w:rPr>
                <w:rFonts w:ascii="Arial" w:hAnsi="Arial" w:cs="Arial"/>
                <w:bCs/>
                <w:sz w:val="18"/>
                <w:szCs w:val="18"/>
              </w:rPr>
              <w:t>) Subarea 4, Division 7.d, and Subdivision 20 (North Sea, eastern English Channel, Skagerrak)</w:t>
            </w:r>
          </w:p>
        </w:tc>
        <w:tc>
          <w:tcPr>
            <w:tcW w:w="1170" w:type="dxa"/>
          </w:tcPr>
          <w:p w14:paraId="7BE2F5B1" w14:textId="77777777" w:rsidR="00342D10" w:rsidRPr="00941418" w:rsidRDefault="008116F4" w:rsidP="002C29BD">
            <w:pPr>
              <w:jc w:val="center"/>
              <w:rPr>
                <w:rFonts w:ascii="Arial" w:hAnsi="Arial" w:cs="Arial"/>
                <w:sz w:val="18"/>
                <w:szCs w:val="18"/>
              </w:rPr>
            </w:pPr>
            <w:r w:rsidRPr="00941418">
              <w:rPr>
                <w:rFonts w:ascii="Arial" w:hAnsi="Arial" w:cs="Arial"/>
                <w:sz w:val="18"/>
                <w:szCs w:val="18"/>
              </w:rPr>
              <w:t>2</w:t>
            </w:r>
          </w:p>
        </w:tc>
        <w:tc>
          <w:tcPr>
            <w:tcW w:w="2712" w:type="dxa"/>
          </w:tcPr>
          <w:p w14:paraId="4CF8918B" w14:textId="77777777" w:rsidR="00342D10" w:rsidRPr="00941418" w:rsidRDefault="008116F4" w:rsidP="00941418">
            <w:pPr>
              <w:rPr>
                <w:rFonts w:ascii="Arial" w:hAnsi="Arial" w:cs="Arial"/>
                <w:sz w:val="18"/>
                <w:szCs w:val="18"/>
              </w:rPr>
            </w:pPr>
            <w:r w:rsidRPr="00941418">
              <w:rPr>
                <w:rFonts w:ascii="Arial" w:hAnsi="Arial" w:cs="Arial"/>
                <w:sz w:val="18"/>
                <w:szCs w:val="18"/>
              </w:rPr>
              <w:t>Not Applicable</w:t>
            </w:r>
          </w:p>
        </w:tc>
        <w:tc>
          <w:tcPr>
            <w:tcW w:w="1930" w:type="dxa"/>
          </w:tcPr>
          <w:p w14:paraId="76F46047" w14:textId="77777777" w:rsidR="00342D10" w:rsidRPr="00941418" w:rsidRDefault="008116F4" w:rsidP="00941418">
            <w:pPr>
              <w:rPr>
                <w:rFonts w:ascii="Arial" w:hAnsi="Arial" w:cs="Arial"/>
                <w:sz w:val="18"/>
                <w:szCs w:val="18"/>
              </w:rPr>
            </w:pPr>
            <w:r w:rsidRPr="00941418">
              <w:rPr>
                <w:rFonts w:ascii="Arial" w:hAnsi="Arial" w:cs="Arial"/>
                <w:sz w:val="18"/>
                <w:szCs w:val="18"/>
              </w:rPr>
              <w:t>Not Applicable</w:t>
            </w:r>
          </w:p>
        </w:tc>
        <w:tc>
          <w:tcPr>
            <w:tcW w:w="1791" w:type="dxa"/>
          </w:tcPr>
          <w:p w14:paraId="181E7B62" w14:textId="77777777" w:rsidR="00342D10" w:rsidRPr="00941418" w:rsidRDefault="008116F4" w:rsidP="00941418">
            <w:pPr>
              <w:rPr>
                <w:rFonts w:ascii="Arial" w:hAnsi="Arial" w:cs="Arial"/>
                <w:sz w:val="18"/>
                <w:szCs w:val="18"/>
              </w:rPr>
            </w:pPr>
            <w:r w:rsidRPr="00941418">
              <w:rPr>
                <w:rFonts w:ascii="Arial" w:hAnsi="Arial" w:cs="Arial"/>
                <w:sz w:val="18"/>
                <w:szCs w:val="18"/>
              </w:rPr>
              <w:t>Applicable – Depends on the biological status of the donor stock</w:t>
            </w:r>
          </w:p>
        </w:tc>
        <w:tc>
          <w:tcPr>
            <w:tcW w:w="2946" w:type="dxa"/>
          </w:tcPr>
          <w:p w14:paraId="64700E2E" w14:textId="77777777" w:rsidR="0094533D" w:rsidRPr="00941418" w:rsidRDefault="00956425" w:rsidP="00941418">
            <w:pPr>
              <w:rPr>
                <w:rFonts w:ascii="Arial" w:hAnsi="Arial" w:cs="Arial"/>
                <w:sz w:val="18"/>
                <w:szCs w:val="18"/>
              </w:rPr>
            </w:pPr>
            <w:r w:rsidRPr="00941418">
              <w:rPr>
                <w:rFonts w:ascii="Arial" w:hAnsi="Arial" w:cs="Arial"/>
                <w:sz w:val="18"/>
                <w:szCs w:val="18"/>
              </w:rPr>
              <w:t xml:space="preserve">Yes. </w:t>
            </w:r>
          </w:p>
          <w:p w14:paraId="39DCE1AA" w14:textId="77777777" w:rsidR="00342D10" w:rsidRPr="00941418" w:rsidRDefault="009F4F56" w:rsidP="00941418">
            <w:pPr>
              <w:rPr>
                <w:rFonts w:ascii="Arial" w:hAnsi="Arial" w:cs="Arial"/>
                <w:sz w:val="18"/>
                <w:szCs w:val="18"/>
              </w:rPr>
            </w:pPr>
            <w:r w:rsidRPr="00941418">
              <w:rPr>
                <w:rFonts w:ascii="Arial" w:hAnsi="Arial" w:cs="Arial"/>
                <w:sz w:val="18"/>
                <w:szCs w:val="18"/>
              </w:rPr>
              <w:t xml:space="preserve">Interspecies flexibility could be applied, although the NSAC remains unclear how this will operate in practice given issues of relative stability and MSY harvesting.  </w:t>
            </w:r>
          </w:p>
        </w:tc>
        <w:tc>
          <w:tcPr>
            <w:tcW w:w="1343" w:type="dxa"/>
          </w:tcPr>
          <w:p w14:paraId="69CA0043" w14:textId="77777777" w:rsidR="00342D10" w:rsidRPr="00941418" w:rsidRDefault="00342D10" w:rsidP="00941418">
            <w:pPr>
              <w:rPr>
                <w:rFonts w:ascii="Arial" w:hAnsi="Arial" w:cs="Arial"/>
                <w:sz w:val="18"/>
                <w:szCs w:val="18"/>
              </w:rPr>
            </w:pPr>
          </w:p>
        </w:tc>
      </w:tr>
      <w:tr w:rsidR="00263A22" w14:paraId="66638940" w14:textId="77777777" w:rsidTr="001264FC">
        <w:tc>
          <w:tcPr>
            <w:tcW w:w="2233" w:type="dxa"/>
          </w:tcPr>
          <w:p w14:paraId="0AED5DD7" w14:textId="77777777" w:rsidR="00342D10" w:rsidRPr="00941418" w:rsidRDefault="00263A22" w:rsidP="00941418">
            <w:pPr>
              <w:rPr>
                <w:rFonts w:ascii="Arial" w:hAnsi="Arial" w:cs="Arial"/>
                <w:sz w:val="18"/>
                <w:szCs w:val="18"/>
              </w:rPr>
            </w:pPr>
            <w:r w:rsidRPr="00941418">
              <w:rPr>
                <w:rFonts w:ascii="Arial" w:hAnsi="Arial" w:cs="Arial"/>
                <w:b/>
                <w:sz w:val="18"/>
                <w:szCs w:val="18"/>
              </w:rPr>
              <w:t xml:space="preserve">Cod </w:t>
            </w:r>
            <w:r w:rsidRPr="00941418">
              <w:rPr>
                <w:rFonts w:ascii="Arial" w:hAnsi="Arial" w:cs="Arial"/>
                <w:sz w:val="18"/>
                <w:szCs w:val="18"/>
              </w:rPr>
              <w:t>(in the Kattegat)</w:t>
            </w:r>
          </w:p>
        </w:tc>
        <w:tc>
          <w:tcPr>
            <w:tcW w:w="1170" w:type="dxa"/>
          </w:tcPr>
          <w:p w14:paraId="4F35CA62" w14:textId="77777777" w:rsidR="00342D10" w:rsidRPr="00941418" w:rsidRDefault="00263A22" w:rsidP="002C29BD">
            <w:pPr>
              <w:jc w:val="center"/>
              <w:rPr>
                <w:rFonts w:ascii="Arial" w:hAnsi="Arial" w:cs="Arial"/>
                <w:sz w:val="18"/>
                <w:szCs w:val="18"/>
              </w:rPr>
            </w:pPr>
            <w:r w:rsidRPr="00941418">
              <w:rPr>
                <w:rFonts w:ascii="Arial" w:hAnsi="Arial" w:cs="Arial"/>
                <w:sz w:val="18"/>
                <w:szCs w:val="18"/>
              </w:rPr>
              <w:t>2 or possibly 3</w:t>
            </w:r>
          </w:p>
        </w:tc>
        <w:tc>
          <w:tcPr>
            <w:tcW w:w="2712" w:type="dxa"/>
          </w:tcPr>
          <w:p w14:paraId="5DA2042A" w14:textId="77777777" w:rsidR="00342D10" w:rsidRPr="00941418" w:rsidRDefault="00263A22" w:rsidP="00941418">
            <w:pPr>
              <w:rPr>
                <w:rFonts w:ascii="Arial" w:hAnsi="Arial" w:cs="Arial"/>
                <w:sz w:val="18"/>
                <w:szCs w:val="18"/>
              </w:rPr>
            </w:pPr>
            <w:r w:rsidRPr="00941418">
              <w:rPr>
                <w:rFonts w:ascii="Arial" w:hAnsi="Arial" w:cs="Arial"/>
                <w:sz w:val="18"/>
                <w:szCs w:val="18"/>
              </w:rPr>
              <w:t>Not Applicable</w:t>
            </w:r>
          </w:p>
        </w:tc>
        <w:tc>
          <w:tcPr>
            <w:tcW w:w="1930" w:type="dxa"/>
          </w:tcPr>
          <w:p w14:paraId="2B86B50C" w14:textId="77777777" w:rsidR="00342D10" w:rsidRPr="00941418" w:rsidRDefault="002358B9" w:rsidP="00941418">
            <w:pPr>
              <w:rPr>
                <w:rFonts w:ascii="Arial" w:hAnsi="Arial" w:cs="Arial"/>
                <w:sz w:val="18"/>
                <w:szCs w:val="18"/>
              </w:rPr>
            </w:pPr>
            <w:r w:rsidRPr="00941418">
              <w:rPr>
                <w:rFonts w:ascii="Arial" w:hAnsi="Arial" w:cs="Arial"/>
                <w:sz w:val="18"/>
                <w:szCs w:val="18"/>
              </w:rPr>
              <w:t>At this moment there is a De M</w:t>
            </w:r>
            <w:r w:rsidR="00263A22" w:rsidRPr="00941418">
              <w:rPr>
                <w:rFonts w:ascii="Arial" w:hAnsi="Arial" w:cs="Arial"/>
                <w:sz w:val="18"/>
                <w:szCs w:val="18"/>
              </w:rPr>
              <w:t>inimis for cod in some limited fisheries.</w:t>
            </w:r>
          </w:p>
        </w:tc>
        <w:tc>
          <w:tcPr>
            <w:tcW w:w="1791" w:type="dxa"/>
          </w:tcPr>
          <w:p w14:paraId="69DC5583" w14:textId="77777777" w:rsidR="00342D10" w:rsidRPr="00941418" w:rsidRDefault="00263A22" w:rsidP="00941418">
            <w:pPr>
              <w:rPr>
                <w:rFonts w:ascii="Arial" w:hAnsi="Arial" w:cs="Arial"/>
                <w:sz w:val="18"/>
                <w:szCs w:val="18"/>
              </w:rPr>
            </w:pPr>
            <w:r w:rsidRPr="00941418">
              <w:rPr>
                <w:rFonts w:ascii="Arial" w:hAnsi="Arial" w:cs="Arial"/>
                <w:sz w:val="18"/>
                <w:szCs w:val="18"/>
              </w:rPr>
              <w:t>Not Applicable</w:t>
            </w:r>
          </w:p>
        </w:tc>
        <w:tc>
          <w:tcPr>
            <w:tcW w:w="2946" w:type="dxa"/>
          </w:tcPr>
          <w:p w14:paraId="44C97FB8" w14:textId="77777777" w:rsidR="00956425" w:rsidRPr="00941418" w:rsidRDefault="00956425" w:rsidP="00941418">
            <w:pPr>
              <w:rPr>
                <w:rFonts w:ascii="Arial" w:hAnsi="Arial" w:cs="Arial"/>
                <w:sz w:val="18"/>
                <w:szCs w:val="18"/>
              </w:rPr>
            </w:pPr>
            <w:r w:rsidRPr="00941418">
              <w:rPr>
                <w:rFonts w:ascii="Arial" w:hAnsi="Arial" w:cs="Arial"/>
                <w:sz w:val="18"/>
                <w:szCs w:val="18"/>
              </w:rPr>
              <w:t xml:space="preserve">Perhaps not. </w:t>
            </w:r>
          </w:p>
          <w:p w14:paraId="01359CB9" w14:textId="77777777" w:rsidR="00342D10" w:rsidRPr="00941418" w:rsidRDefault="00956425" w:rsidP="00941418">
            <w:pPr>
              <w:rPr>
                <w:rFonts w:ascii="Arial" w:hAnsi="Arial" w:cs="Arial"/>
                <w:sz w:val="18"/>
                <w:szCs w:val="18"/>
              </w:rPr>
            </w:pPr>
            <w:r w:rsidRPr="00941418">
              <w:rPr>
                <w:rFonts w:ascii="Arial" w:hAnsi="Arial" w:cs="Arial"/>
                <w:sz w:val="18"/>
                <w:szCs w:val="18"/>
              </w:rPr>
              <w:t>If trend in stock increase continues, top up may not solve the problem</w:t>
            </w:r>
          </w:p>
        </w:tc>
        <w:tc>
          <w:tcPr>
            <w:tcW w:w="1343" w:type="dxa"/>
          </w:tcPr>
          <w:p w14:paraId="00CA27BF" w14:textId="77777777" w:rsidR="00342D10" w:rsidRPr="00941418" w:rsidRDefault="0094533D" w:rsidP="00941418">
            <w:pPr>
              <w:rPr>
                <w:rFonts w:ascii="Arial" w:hAnsi="Arial" w:cs="Arial"/>
                <w:sz w:val="18"/>
                <w:szCs w:val="18"/>
              </w:rPr>
            </w:pPr>
            <w:r w:rsidRPr="00941418">
              <w:rPr>
                <w:rFonts w:ascii="Arial" w:hAnsi="Arial" w:cs="Arial"/>
                <w:sz w:val="18"/>
                <w:szCs w:val="18"/>
              </w:rPr>
              <w:t>Yes</w:t>
            </w:r>
          </w:p>
        </w:tc>
      </w:tr>
      <w:tr w:rsidR="00263A22" w14:paraId="0A9DAAE3" w14:textId="77777777" w:rsidTr="001264FC">
        <w:tc>
          <w:tcPr>
            <w:tcW w:w="2233" w:type="dxa"/>
          </w:tcPr>
          <w:p w14:paraId="139550CD" w14:textId="77777777" w:rsidR="00342D10" w:rsidRPr="00941418" w:rsidRDefault="00FE73BB" w:rsidP="00941418">
            <w:pPr>
              <w:rPr>
                <w:rFonts w:ascii="Arial" w:hAnsi="Arial" w:cs="Arial"/>
                <w:sz w:val="18"/>
                <w:szCs w:val="18"/>
              </w:rPr>
            </w:pPr>
            <w:r w:rsidRPr="00941418">
              <w:rPr>
                <w:rFonts w:ascii="Arial" w:hAnsi="Arial" w:cs="Arial"/>
                <w:b/>
                <w:sz w:val="18"/>
                <w:szCs w:val="18"/>
                <w:lang w:val="en-US"/>
              </w:rPr>
              <w:t xml:space="preserve">Hake </w:t>
            </w:r>
            <w:r w:rsidRPr="00941418">
              <w:rPr>
                <w:rFonts w:ascii="Arial" w:hAnsi="Arial" w:cs="Arial"/>
                <w:sz w:val="18"/>
                <w:szCs w:val="18"/>
                <w:lang w:val="en-US"/>
              </w:rPr>
              <w:t>(</w:t>
            </w:r>
            <w:proofErr w:type="spellStart"/>
            <w:r w:rsidRPr="00941418">
              <w:rPr>
                <w:rFonts w:ascii="Arial" w:hAnsi="Arial" w:cs="Arial"/>
                <w:sz w:val="18"/>
                <w:szCs w:val="18"/>
                <w:lang w:val="en-US"/>
              </w:rPr>
              <w:t>Merluccius</w:t>
            </w:r>
            <w:proofErr w:type="spellEnd"/>
            <w:r w:rsidRPr="00941418">
              <w:rPr>
                <w:rFonts w:ascii="Arial" w:hAnsi="Arial" w:cs="Arial"/>
                <w:sz w:val="18"/>
                <w:szCs w:val="18"/>
                <w:lang w:val="en-US"/>
              </w:rPr>
              <w:t xml:space="preserve"> </w:t>
            </w:r>
            <w:proofErr w:type="spellStart"/>
            <w:r w:rsidRPr="00941418">
              <w:rPr>
                <w:rFonts w:ascii="Arial" w:hAnsi="Arial" w:cs="Arial"/>
                <w:sz w:val="18"/>
                <w:szCs w:val="18"/>
                <w:lang w:val="en-US"/>
              </w:rPr>
              <w:t>merluccius</w:t>
            </w:r>
            <w:proofErr w:type="spellEnd"/>
            <w:r w:rsidRPr="00941418">
              <w:rPr>
                <w:rFonts w:ascii="Arial" w:hAnsi="Arial" w:cs="Arial"/>
                <w:sz w:val="18"/>
                <w:szCs w:val="18"/>
                <w:lang w:val="en-US"/>
              </w:rPr>
              <w:t xml:space="preserve"> - Union waters of </w:t>
            </w:r>
            <w:proofErr w:type="spellStart"/>
            <w:r w:rsidRPr="00941418">
              <w:rPr>
                <w:rFonts w:ascii="Arial" w:hAnsi="Arial" w:cs="Arial"/>
                <w:sz w:val="18"/>
                <w:szCs w:val="18"/>
                <w:lang w:val="en-US"/>
              </w:rPr>
              <w:t>IIa</w:t>
            </w:r>
            <w:proofErr w:type="spellEnd"/>
            <w:r w:rsidRPr="00941418">
              <w:rPr>
                <w:rFonts w:ascii="Arial" w:hAnsi="Arial" w:cs="Arial"/>
                <w:sz w:val="18"/>
                <w:szCs w:val="18"/>
                <w:lang w:val="en-US"/>
              </w:rPr>
              <w:t xml:space="preserve"> and IV (HKE/2AC4-C))</w:t>
            </w:r>
          </w:p>
        </w:tc>
        <w:tc>
          <w:tcPr>
            <w:tcW w:w="1170" w:type="dxa"/>
          </w:tcPr>
          <w:p w14:paraId="62498CF5" w14:textId="77777777" w:rsidR="00342D10" w:rsidRPr="00941418" w:rsidRDefault="00FE73BB" w:rsidP="002C29BD">
            <w:pPr>
              <w:jc w:val="center"/>
              <w:rPr>
                <w:rFonts w:ascii="Arial" w:hAnsi="Arial" w:cs="Arial"/>
                <w:sz w:val="18"/>
                <w:szCs w:val="18"/>
              </w:rPr>
            </w:pPr>
            <w:r w:rsidRPr="00941418">
              <w:rPr>
                <w:rFonts w:ascii="Arial" w:hAnsi="Arial" w:cs="Arial"/>
                <w:sz w:val="18"/>
                <w:szCs w:val="18"/>
              </w:rPr>
              <w:t>2 or 3</w:t>
            </w:r>
          </w:p>
        </w:tc>
        <w:tc>
          <w:tcPr>
            <w:tcW w:w="2712" w:type="dxa"/>
          </w:tcPr>
          <w:p w14:paraId="3AB16D98" w14:textId="77777777" w:rsidR="00342D10" w:rsidRPr="00941418" w:rsidRDefault="00FE73BB" w:rsidP="00941418">
            <w:pPr>
              <w:rPr>
                <w:rFonts w:ascii="Arial" w:hAnsi="Arial" w:cs="Arial"/>
                <w:sz w:val="18"/>
                <w:szCs w:val="18"/>
              </w:rPr>
            </w:pPr>
            <w:r w:rsidRPr="00941418">
              <w:rPr>
                <w:rFonts w:ascii="Arial" w:hAnsi="Arial" w:cs="Arial"/>
                <w:sz w:val="18"/>
                <w:szCs w:val="18"/>
              </w:rPr>
              <w:t>Not Applicable</w:t>
            </w:r>
          </w:p>
        </w:tc>
        <w:tc>
          <w:tcPr>
            <w:tcW w:w="1930" w:type="dxa"/>
          </w:tcPr>
          <w:p w14:paraId="43C62AD9" w14:textId="77777777" w:rsidR="00342D10" w:rsidRPr="00941418" w:rsidRDefault="00FE73BB" w:rsidP="00941418">
            <w:pPr>
              <w:rPr>
                <w:rFonts w:ascii="Arial" w:hAnsi="Arial" w:cs="Arial"/>
                <w:sz w:val="18"/>
                <w:szCs w:val="18"/>
              </w:rPr>
            </w:pPr>
            <w:r w:rsidRPr="00941418">
              <w:rPr>
                <w:rFonts w:ascii="Arial" w:hAnsi="Arial" w:cs="Arial"/>
                <w:sz w:val="18"/>
                <w:szCs w:val="18"/>
              </w:rPr>
              <w:t>Not Applicable</w:t>
            </w:r>
          </w:p>
        </w:tc>
        <w:tc>
          <w:tcPr>
            <w:tcW w:w="1791" w:type="dxa"/>
          </w:tcPr>
          <w:p w14:paraId="24669D60" w14:textId="77777777" w:rsidR="00342D10" w:rsidRPr="00941418" w:rsidRDefault="00FE73BB" w:rsidP="00941418">
            <w:pPr>
              <w:rPr>
                <w:rFonts w:ascii="Arial" w:hAnsi="Arial" w:cs="Arial"/>
                <w:sz w:val="18"/>
                <w:szCs w:val="18"/>
              </w:rPr>
            </w:pPr>
            <w:r w:rsidRPr="00941418">
              <w:rPr>
                <w:rFonts w:ascii="Arial" w:hAnsi="Arial" w:cs="Arial"/>
                <w:sz w:val="18"/>
                <w:szCs w:val="18"/>
              </w:rPr>
              <w:t>Applicable – Depends on the biological status of the donor stock</w:t>
            </w:r>
          </w:p>
        </w:tc>
        <w:tc>
          <w:tcPr>
            <w:tcW w:w="2946" w:type="dxa"/>
          </w:tcPr>
          <w:p w14:paraId="0FB03DDA" w14:textId="77777777" w:rsidR="00FE73BB" w:rsidRPr="00941418" w:rsidRDefault="00956425" w:rsidP="00941418">
            <w:pPr>
              <w:pStyle w:val="NormalWeb"/>
              <w:spacing w:line="240" w:lineRule="auto"/>
              <w:rPr>
                <w:rFonts w:ascii="Arial" w:hAnsi="Arial" w:cs="Arial"/>
                <w:sz w:val="18"/>
                <w:szCs w:val="18"/>
              </w:rPr>
            </w:pPr>
            <w:r w:rsidRPr="00941418">
              <w:rPr>
                <w:rFonts w:ascii="Arial" w:hAnsi="Arial" w:cs="Arial"/>
                <w:sz w:val="18"/>
                <w:szCs w:val="18"/>
              </w:rPr>
              <w:t>Perhaps yes.</w:t>
            </w:r>
            <w:r w:rsidRPr="00941418">
              <w:rPr>
                <w:rFonts w:ascii="Arial" w:hAnsi="Arial" w:cs="Arial"/>
                <w:sz w:val="18"/>
                <w:szCs w:val="18"/>
              </w:rPr>
              <w:br/>
            </w:r>
            <w:r w:rsidR="00FE73BB" w:rsidRPr="00941418">
              <w:rPr>
                <w:rFonts w:ascii="Arial" w:hAnsi="Arial" w:cs="Arial"/>
                <w:sz w:val="18"/>
                <w:szCs w:val="18"/>
              </w:rPr>
              <w:t xml:space="preserve">Interspecies flexibility would remain an option although NSAC is still unclear how this could operate without impinging on relative stability or MSY harvesting. </w:t>
            </w:r>
          </w:p>
          <w:p w14:paraId="77417CBA" w14:textId="77777777" w:rsidR="00342D10" w:rsidRPr="00941418" w:rsidRDefault="00342D10" w:rsidP="00941418">
            <w:pPr>
              <w:rPr>
                <w:rFonts w:ascii="Arial" w:hAnsi="Arial" w:cs="Arial"/>
                <w:sz w:val="18"/>
                <w:szCs w:val="18"/>
              </w:rPr>
            </w:pPr>
          </w:p>
        </w:tc>
        <w:tc>
          <w:tcPr>
            <w:tcW w:w="1343" w:type="dxa"/>
          </w:tcPr>
          <w:p w14:paraId="265AF60A" w14:textId="77777777" w:rsidR="00342D10" w:rsidRPr="00941418" w:rsidRDefault="00342D10" w:rsidP="00941418">
            <w:pPr>
              <w:rPr>
                <w:rFonts w:ascii="Arial" w:hAnsi="Arial" w:cs="Arial"/>
                <w:sz w:val="18"/>
                <w:szCs w:val="18"/>
              </w:rPr>
            </w:pPr>
          </w:p>
        </w:tc>
      </w:tr>
      <w:tr w:rsidR="00333E6F" w14:paraId="6363A573" w14:textId="77777777" w:rsidTr="00BD4C9D">
        <w:tc>
          <w:tcPr>
            <w:tcW w:w="2233" w:type="dxa"/>
            <w:vMerge w:val="restart"/>
          </w:tcPr>
          <w:p w14:paraId="74DC249B" w14:textId="40224B6C" w:rsidR="00333E6F" w:rsidRPr="00941418" w:rsidRDefault="00333E6F" w:rsidP="00333E6F">
            <w:pPr>
              <w:rPr>
                <w:rFonts w:ascii="Arial" w:hAnsi="Arial" w:cs="Arial"/>
                <w:b/>
                <w:sz w:val="18"/>
                <w:szCs w:val="18"/>
              </w:rPr>
            </w:pPr>
            <w:r w:rsidRPr="001264FC">
              <w:rPr>
                <w:rFonts w:ascii="Arial" w:hAnsi="Arial" w:cs="Arial"/>
                <w:b/>
              </w:rPr>
              <w:lastRenderedPageBreak/>
              <w:t>Species</w:t>
            </w:r>
          </w:p>
        </w:tc>
        <w:tc>
          <w:tcPr>
            <w:tcW w:w="1170" w:type="dxa"/>
            <w:vMerge w:val="restart"/>
          </w:tcPr>
          <w:p w14:paraId="3C754E5D" w14:textId="7EB445AC" w:rsidR="00333E6F" w:rsidRPr="00941418" w:rsidRDefault="00333E6F" w:rsidP="00333E6F">
            <w:pPr>
              <w:jc w:val="center"/>
              <w:rPr>
                <w:rFonts w:ascii="Arial" w:hAnsi="Arial" w:cs="Arial"/>
                <w:sz w:val="18"/>
                <w:szCs w:val="18"/>
              </w:rPr>
            </w:pPr>
            <w:r w:rsidRPr="001264FC">
              <w:rPr>
                <w:rFonts w:ascii="Arial" w:hAnsi="Arial" w:cs="Arial"/>
                <w:b/>
              </w:rPr>
              <w:t>Choke Category</w:t>
            </w:r>
          </w:p>
        </w:tc>
        <w:tc>
          <w:tcPr>
            <w:tcW w:w="6433" w:type="dxa"/>
            <w:gridSpan w:val="3"/>
          </w:tcPr>
          <w:p w14:paraId="6B74E5A4" w14:textId="2A55C44C" w:rsidR="00333E6F" w:rsidRPr="00941418" w:rsidRDefault="00333E6F" w:rsidP="00333E6F">
            <w:pPr>
              <w:rPr>
                <w:rFonts w:ascii="Arial" w:hAnsi="Arial" w:cs="Arial"/>
                <w:sz w:val="18"/>
                <w:szCs w:val="18"/>
              </w:rPr>
            </w:pPr>
            <w:r w:rsidRPr="001264FC">
              <w:rPr>
                <w:rFonts w:ascii="Arial" w:hAnsi="Arial" w:cs="Arial"/>
                <w:b/>
              </w:rPr>
              <w:t>Measures within the Joint Recommendation</w:t>
            </w:r>
          </w:p>
        </w:tc>
        <w:tc>
          <w:tcPr>
            <w:tcW w:w="2946" w:type="dxa"/>
            <w:vMerge w:val="restart"/>
          </w:tcPr>
          <w:p w14:paraId="7E9ABE1C" w14:textId="24B5CE49" w:rsidR="00333E6F" w:rsidRPr="00941418" w:rsidRDefault="00333E6F" w:rsidP="00333E6F">
            <w:pPr>
              <w:rPr>
                <w:rFonts w:ascii="Arial" w:hAnsi="Arial" w:cs="Arial"/>
                <w:sz w:val="18"/>
                <w:szCs w:val="18"/>
              </w:rPr>
            </w:pPr>
            <w:r w:rsidRPr="001264FC">
              <w:rPr>
                <w:rFonts w:ascii="Arial" w:hAnsi="Arial" w:cs="Arial"/>
                <w:b/>
              </w:rPr>
              <w:t>Choke can be resolved within the JR</w:t>
            </w:r>
          </w:p>
        </w:tc>
        <w:tc>
          <w:tcPr>
            <w:tcW w:w="1343" w:type="dxa"/>
            <w:vMerge w:val="restart"/>
          </w:tcPr>
          <w:p w14:paraId="117C29FE" w14:textId="6DB799EA" w:rsidR="00333E6F" w:rsidRPr="00941418" w:rsidRDefault="00333E6F" w:rsidP="00333E6F">
            <w:pPr>
              <w:rPr>
                <w:rFonts w:ascii="Arial" w:hAnsi="Arial" w:cs="Arial"/>
                <w:sz w:val="18"/>
                <w:szCs w:val="18"/>
              </w:rPr>
            </w:pPr>
            <w:r w:rsidRPr="001264FC">
              <w:rPr>
                <w:rFonts w:ascii="Arial" w:hAnsi="Arial" w:cs="Arial"/>
                <w:b/>
              </w:rPr>
              <w:t>Solution may be out with the JR</w:t>
            </w:r>
          </w:p>
        </w:tc>
      </w:tr>
      <w:tr w:rsidR="00333E6F" w14:paraId="60DC1424" w14:textId="77777777" w:rsidTr="001264FC">
        <w:tc>
          <w:tcPr>
            <w:tcW w:w="2233" w:type="dxa"/>
            <w:vMerge/>
          </w:tcPr>
          <w:p w14:paraId="5843D5D4" w14:textId="77777777" w:rsidR="00333E6F" w:rsidRPr="00941418" w:rsidRDefault="00333E6F" w:rsidP="00333E6F">
            <w:pPr>
              <w:rPr>
                <w:rFonts w:ascii="Arial" w:hAnsi="Arial" w:cs="Arial"/>
                <w:b/>
                <w:sz w:val="18"/>
                <w:szCs w:val="18"/>
              </w:rPr>
            </w:pPr>
          </w:p>
        </w:tc>
        <w:tc>
          <w:tcPr>
            <w:tcW w:w="1170" w:type="dxa"/>
            <w:vMerge/>
          </w:tcPr>
          <w:p w14:paraId="3D6F0F24" w14:textId="77777777" w:rsidR="00333E6F" w:rsidRPr="00941418" w:rsidRDefault="00333E6F" w:rsidP="00333E6F">
            <w:pPr>
              <w:jc w:val="center"/>
              <w:rPr>
                <w:rFonts w:ascii="Arial" w:hAnsi="Arial" w:cs="Arial"/>
                <w:sz w:val="18"/>
                <w:szCs w:val="18"/>
              </w:rPr>
            </w:pPr>
          </w:p>
        </w:tc>
        <w:tc>
          <w:tcPr>
            <w:tcW w:w="2712" w:type="dxa"/>
          </w:tcPr>
          <w:p w14:paraId="68A4ABD9" w14:textId="7AA0E778" w:rsidR="00333E6F" w:rsidRPr="00941418" w:rsidRDefault="00333E6F" w:rsidP="00333E6F">
            <w:pPr>
              <w:rPr>
                <w:rFonts w:ascii="Arial" w:hAnsi="Arial" w:cs="Arial"/>
                <w:sz w:val="18"/>
                <w:szCs w:val="18"/>
              </w:rPr>
            </w:pPr>
            <w:r w:rsidRPr="003944F7">
              <w:rPr>
                <w:rFonts w:ascii="Arial" w:hAnsi="Arial" w:cs="Arial"/>
                <w:b/>
              </w:rPr>
              <w:t>High Survival</w:t>
            </w:r>
          </w:p>
        </w:tc>
        <w:tc>
          <w:tcPr>
            <w:tcW w:w="1930" w:type="dxa"/>
          </w:tcPr>
          <w:p w14:paraId="10618086" w14:textId="09DCCF1F" w:rsidR="00333E6F" w:rsidRDefault="00333E6F" w:rsidP="00333E6F">
            <w:pPr>
              <w:rPr>
                <w:rFonts w:ascii="Arial" w:hAnsi="Arial" w:cs="Arial"/>
                <w:sz w:val="18"/>
                <w:szCs w:val="18"/>
              </w:rPr>
            </w:pPr>
            <w:r w:rsidRPr="003944F7">
              <w:rPr>
                <w:rFonts w:ascii="Arial" w:hAnsi="Arial" w:cs="Arial"/>
                <w:b/>
              </w:rPr>
              <w:t>De Minimis</w:t>
            </w:r>
          </w:p>
        </w:tc>
        <w:tc>
          <w:tcPr>
            <w:tcW w:w="1791" w:type="dxa"/>
          </w:tcPr>
          <w:p w14:paraId="078C3C3F" w14:textId="77029AB8" w:rsidR="00333E6F" w:rsidRPr="00941418" w:rsidRDefault="00333E6F" w:rsidP="00333E6F">
            <w:pPr>
              <w:rPr>
                <w:rFonts w:ascii="Arial" w:hAnsi="Arial" w:cs="Arial"/>
                <w:sz w:val="18"/>
                <w:szCs w:val="18"/>
              </w:rPr>
            </w:pPr>
            <w:r w:rsidRPr="003944F7">
              <w:rPr>
                <w:rFonts w:ascii="Arial" w:hAnsi="Arial" w:cs="Arial"/>
                <w:b/>
              </w:rPr>
              <w:t>Inter Species Flexibility</w:t>
            </w:r>
          </w:p>
        </w:tc>
        <w:tc>
          <w:tcPr>
            <w:tcW w:w="2946" w:type="dxa"/>
            <w:vMerge/>
          </w:tcPr>
          <w:p w14:paraId="29EFECC4" w14:textId="77777777" w:rsidR="00333E6F" w:rsidRPr="00941418" w:rsidRDefault="00333E6F" w:rsidP="00333E6F">
            <w:pPr>
              <w:rPr>
                <w:rFonts w:ascii="Arial" w:hAnsi="Arial" w:cs="Arial"/>
                <w:sz w:val="18"/>
                <w:szCs w:val="18"/>
              </w:rPr>
            </w:pPr>
          </w:p>
        </w:tc>
        <w:tc>
          <w:tcPr>
            <w:tcW w:w="1343" w:type="dxa"/>
            <w:vMerge/>
          </w:tcPr>
          <w:p w14:paraId="745AF7A9" w14:textId="77777777" w:rsidR="00333E6F" w:rsidRPr="00941418" w:rsidRDefault="00333E6F" w:rsidP="00333E6F">
            <w:pPr>
              <w:rPr>
                <w:rFonts w:ascii="Arial" w:hAnsi="Arial" w:cs="Arial"/>
                <w:sz w:val="18"/>
                <w:szCs w:val="18"/>
              </w:rPr>
            </w:pPr>
          </w:p>
        </w:tc>
      </w:tr>
      <w:tr w:rsidR="00333E6F" w14:paraId="709FE0BE" w14:textId="77777777" w:rsidTr="001264FC">
        <w:tc>
          <w:tcPr>
            <w:tcW w:w="2233" w:type="dxa"/>
          </w:tcPr>
          <w:p w14:paraId="5DB1845B" w14:textId="77777777" w:rsidR="00333E6F" w:rsidRPr="00941418" w:rsidRDefault="00333E6F" w:rsidP="00333E6F">
            <w:pPr>
              <w:rPr>
                <w:rFonts w:ascii="Arial" w:hAnsi="Arial" w:cs="Arial"/>
                <w:sz w:val="18"/>
                <w:szCs w:val="18"/>
              </w:rPr>
            </w:pPr>
            <w:r w:rsidRPr="00941418">
              <w:rPr>
                <w:rFonts w:ascii="Arial" w:hAnsi="Arial" w:cs="Arial"/>
                <w:b/>
                <w:sz w:val="18"/>
                <w:szCs w:val="18"/>
              </w:rPr>
              <w:t xml:space="preserve">Ling </w:t>
            </w:r>
            <w:r w:rsidRPr="00941418">
              <w:rPr>
                <w:rFonts w:ascii="Arial" w:hAnsi="Arial" w:cs="Arial"/>
                <w:sz w:val="18"/>
                <w:szCs w:val="18"/>
              </w:rPr>
              <w:t>(ICES area 3a-bcd and 4)</w:t>
            </w:r>
          </w:p>
        </w:tc>
        <w:tc>
          <w:tcPr>
            <w:tcW w:w="1170" w:type="dxa"/>
          </w:tcPr>
          <w:p w14:paraId="7E2F723E" w14:textId="77777777" w:rsidR="00333E6F" w:rsidRPr="00941418" w:rsidRDefault="00333E6F" w:rsidP="00333E6F">
            <w:pPr>
              <w:jc w:val="center"/>
              <w:rPr>
                <w:rFonts w:ascii="Arial" w:hAnsi="Arial" w:cs="Arial"/>
                <w:sz w:val="18"/>
                <w:szCs w:val="18"/>
              </w:rPr>
            </w:pPr>
            <w:r w:rsidRPr="00941418">
              <w:rPr>
                <w:rFonts w:ascii="Arial" w:hAnsi="Arial" w:cs="Arial"/>
                <w:sz w:val="18"/>
                <w:szCs w:val="18"/>
              </w:rPr>
              <w:t>3</w:t>
            </w:r>
          </w:p>
        </w:tc>
        <w:tc>
          <w:tcPr>
            <w:tcW w:w="2712" w:type="dxa"/>
          </w:tcPr>
          <w:p w14:paraId="7D3EB6E5"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1930" w:type="dxa"/>
          </w:tcPr>
          <w:p w14:paraId="69FB717D" w14:textId="77777777" w:rsidR="00333E6F" w:rsidRPr="00941418" w:rsidRDefault="00333E6F" w:rsidP="00333E6F">
            <w:pPr>
              <w:rPr>
                <w:rFonts w:ascii="Arial" w:hAnsi="Arial" w:cs="Arial"/>
                <w:sz w:val="18"/>
                <w:szCs w:val="18"/>
              </w:rPr>
            </w:pPr>
            <w:r>
              <w:rPr>
                <w:rFonts w:ascii="Arial" w:hAnsi="Arial" w:cs="Arial"/>
                <w:sz w:val="18"/>
                <w:szCs w:val="18"/>
              </w:rPr>
              <w:t>At this moment there is no De Minimis for L</w:t>
            </w:r>
            <w:r w:rsidRPr="00941418">
              <w:rPr>
                <w:rFonts w:ascii="Arial" w:hAnsi="Arial" w:cs="Arial"/>
                <w:sz w:val="18"/>
                <w:szCs w:val="18"/>
              </w:rPr>
              <w:t>ing in the North Sea fisheries.</w:t>
            </w:r>
          </w:p>
        </w:tc>
        <w:tc>
          <w:tcPr>
            <w:tcW w:w="1791" w:type="dxa"/>
          </w:tcPr>
          <w:p w14:paraId="6E3DC3D1"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2946" w:type="dxa"/>
          </w:tcPr>
          <w:p w14:paraId="528E08FC" w14:textId="77777777" w:rsidR="00333E6F" w:rsidRPr="00941418" w:rsidRDefault="00333E6F" w:rsidP="00333E6F">
            <w:pPr>
              <w:rPr>
                <w:rFonts w:ascii="Arial" w:hAnsi="Arial" w:cs="Arial"/>
                <w:sz w:val="18"/>
                <w:szCs w:val="18"/>
              </w:rPr>
            </w:pPr>
            <w:r w:rsidRPr="00941418">
              <w:rPr>
                <w:rFonts w:ascii="Arial" w:hAnsi="Arial" w:cs="Arial"/>
                <w:sz w:val="18"/>
                <w:szCs w:val="18"/>
              </w:rPr>
              <w:t>No</w:t>
            </w:r>
          </w:p>
          <w:p w14:paraId="2DFB804B" w14:textId="77777777" w:rsidR="00333E6F" w:rsidRPr="00941418" w:rsidRDefault="00333E6F" w:rsidP="00333E6F">
            <w:pPr>
              <w:rPr>
                <w:rFonts w:ascii="Arial" w:hAnsi="Arial" w:cs="Arial"/>
                <w:sz w:val="18"/>
                <w:szCs w:val="18"/>
              </w:rPr>
            </w:pPr>
            <w:r w:rsidRPr="00941418">
              <w:rPr>
                <w:rFonts w:ascii="Arial" w:hAnsi="Arial" w:cs="Arial"/>
                <w:sz w:val="18"/>
                <w:szCs w:val="18"/>
              </w:rPr>
              <w:t>A quota top-up is unlikely to solve the problem as the current discards (and therefore the top-up to be expected in 2019) are lower than the current quota deficit</w:t>
            </w:r>
          </w:p>
          <w:p w14:paraId="2475816F" w14:textId="77777777" w:rsidR="00333E6F" w:rsidRPr="00941418" w:rsidRDefault="00333E6F" w:rsidP="00333E6F">
            <w:pPr>
              <w:rPr>
                <w:rFonts w:ascii="Arial" w:hAnsi="Arial" w:cs="Arial"/>
                <w:sz w:val="18"/>
                <w:szCs w:val="18"/>
              </w:rPr>
            </w:pPr>
          </w:p>
        </w:tc>
        <w:tc>
          <w:tcPr>
            <w:tcW w:w="1343" w:type="dxa"/>
          </w:tcPr>
          <w:p w14:paraId="4AF33E0A" w14:textId="77777777" w:rsidR="00333E6F" w:rsidRPr="00941418" w:rsidRDefault="00333E6F" w:rsidP="00333E6F">
            <w:pPr>
              <w:rPr>
                <w:rFonts w:ascii="Arial" w:hAnsi="Arial" w:cs="Arial"/>
                <w:sz w:val="18"/>
                <w:szCs w:val="18"/>
              </w:rPr>
            </w:pPr>
            <w:r w:rsidRPr="00941418">
              <w:rPr>
                <w:rFonts w:ascii="Arial" w:hAnsi="Arial" w:cs="Arial"/>
                <w:sz w:val="18"/>
                <w:szCs w:val="18"/>
              </w:rPr>
              <w:t>Yes</w:t>
            </w:r>
          </w:p>
        </w:tc>
      </w:tr>
      <w:tr w:rsidR="00333E6F" w14:paraId="4CBEA3C9" w14:textId="77777777" w:rsidTr="001264FC">
        <w:tc>
          <w:tcPr>
            <w:tcW w:w="2233" w:type="dxa"/>
          </w:tcPr>
          <w:p w14:paraId="407DD46E" w14:textId="77777777" w:rsidR="00333E6F" w:rsidRPr="00941418" w:rsidRDefault="00333E6F" w:rsidP="00333E6F">
            <w:pPr>
              <w:rPr>
                <w:rFonts w:ascii="Arial" w:hAnsi="Arial" w:cs="Arial"/>
                <w:sz w:val="18"/>
                <w:szCs w:val="18"/>
              </w:rPr>
            </w:pPr>
            <w:r w:rsidRPr="00941418">
              <w:rPr>
                <w:rFonts w:ascii="Arial" w:hAnsi="Arial" w:cs="Arial"/>
                <w:b/>
                <w:sz w:val="18"/>
                <w:szCs w:val="18"/>
              </w:rPr>
              <w:t>Plaice</w:t>
            </w:r>
            <w:r w:rsidRPr="00941418">
              <w:rPr>
                <w:rFonts w:ascii="Arial" w:hAnsi="Arial" w:cs="Arial"/>
                <w:sz w:val="18"/>
                <w:szCs w:val="18"/>
              </w:rPr>
              <w:t xml:space="preserve"> (PLE/2A3AX4)</w:t>
            </w:r>
          </w:p>
          <w:p w14:paraId="364B6018" w14:textId="77777777" w:rsidR="00333E6F" w:rsidRPr="00941418" w:rsidRDefault="00333E6F" w:rsidP="00333E6F">
            <w:pPr>
              <w:rPr>
                <w:rFonts w:ascii="Arial" w:hAnsi="Arial" w:cs="Arial"/>
                <w:sz w:val="18"/>
                <w:szCs w:val="18"/>
              </w:rPr>
            </w:pPr>
          </w:p>
        </w:tc>
        <w:tc>
          <w:tcPr>
            <w:tcW w:w="1170" w:type="dxa"/>
          </w:tcPr>
          <w:p w14:paraId="04B25449" w14:textId="77777777" w:rsidR="00333E6F" w:rsidRPr="00941418" w:rsidRDefault="00333E6F" w:rsidP="00333E6F">
            <w:pPr>
              <w:jc w:val="center"/>
              <w:rPr>
                <w:rFonts w:ascii="Arial" w:hAnsi="Arial" w:cs="Arial"/>
                <w:sz w:val="18"/>
                <w:szCs w:val="18"/>
              </w:rPr>
            </w:pPr>
            <w:r w:rsidRPr="00941418">
              <w:rPr>
                <w:rFonts w:ascii="Arial" w:hAnsi="Arial" w:cs="Arial"/>
                <w:sz w:val="18"/>
                <w:szCs w:val="18"/>
              </w:rPr>
              <w:t>2 or 4</w:t>
            </w:r>
          </w:p>
        </w:tc>
        <w:tc>
          <w:tcPr>
            <w:tcW w:w="2712" w:type="dxa"/>
          </w:tcPr>
          <w:p w14:paraId="485826A5" w14:textId="77777777" w:rsidR="00333E6F" w:rsidRPr="00941418" w:rsidRDefault="00333E6F" w:rsidP="00333E6F">
            <w:pPr>
              <w:rPr>
                <w:rFonts w:ascii="Arial" w:hAnsi="Arial" w:cs="Arial"/>
                <w:sz w:val="18"/>
                <w:szCs w:val="18"/>
              </w:rPr>
            </w:pPr>
            <w:r w:rsidRPr="00941418">
              <w:rPr>
                <w:rFonts w:ascii="Arial" w:hAnsi="Arial" w:cs="Arial"/>
                <w:sz w:val="18"/>
                <w:szCs w:val="18"/>
              </w:rPr>
              <w:t>Yes. Trials ongoing but results not yet available</w:t>
            </w:r>
          </w:p>
        </w:tc>
        <w:tc>
          <w:tcPr>
            <w:tcW w:w="1930" w:type="dxa"/>
          </w:tcPr>
          <w:p w14:paraId="78CF75A2" w14:textId="77777777" w:rsidR="00333E6F" w:rsidRPr="00941418" w:rsidRDefault="00333E6F" w:rsidP="00333E6F">
            <w:pPr>
              <w:rPr>
                <w:rFonts w:ascii="Arial" w:hAnsi="Arial" w:cs="Arial"/>
                <w:sz w:val="18"/>
                <w:szCs w:val="18"/>
              </w:rPr>
            </w:pPr>
            <w:r>
              <w:rPr>
                <w:rFonts w:ascii="Arial" w:hAnsi="Arial" w:cs="Arial"/>
                <w:sz w:val="18"/>
                <w:szCs w:val="18"/>
              </w:rPr>
              <w:t>There is n</w:t>
            </w:r>
            <w:r w:rsidRPr="00941418">
              <w:rPr>
                <w:rFonts w:ascii="Arial" w:hAnsi="Arial" w:cs="Arial"/>
                <w:sz w:val="18"/>
                <w:szCs w:val="18"/>
              </w:rPr>
              <w:t xml:space="preserve">o De Minimis for </w:t>
            </w:r>
            <w:r>
              <w:rPr>
                <w:rFonts w:ascii="Arial" w:hAnsi="Arial" w:cs="Arial"/>
                <w:sz w:val="18"/>
                <w:szCs w:val="18"/>
              </w:rPr>
              <w:t>P</w:t>
            </w:r>
            <w:r w:rsidRPr="00941418">
              <w:rPr>
                <w:rFonts w:ascii="Arial" w:hAnsi="Arial" w:cs="Arial"/>
                <w:sz w:val="18"/>
                <w:szCs w:val="18"/>
              </w:rPr>
              <w:t>laice</w:t>
            </w:r>
          </w:p>
          <w:p w14:paraId="49E0C50E" w14:textId="77777777" w:rsidR="00333E6F" w:rsidRPr="00941418" w:rsidRDefault="00333E6F" w:rsidP="00333E6F">
            <w:pPr>
              <w:rPr>
                <w:rFonts w:ascii="Arial" w:hAnsi="Arial" w:cs="Arial"/>
                <w:sz w:val="18"/>
                <w:szCs w:val="18"/>
              </w:rPr>
            </w:pPr>
          </w:p>
          <w:p w14:paraId="4EF49801" w14:textId="77777777" w:rsidR="00333E6F" w:rsidRPr="00941418" w:rsidRDefault="00333E6F" w:rsidP="00333E6F">
            <w:pPr>
              <w:rPr>
                <w:rFonts w:ascii="Arial" w:hAnsi="Arial" w:cs="Arial"/>
                <w:sz w:val="18"/>
                <w:szCs w:val="18"/>
              </w:rPr>
            </w:pPr>
          </w:p>
        </w:tc>
        <w:tc>
          <w:tcPr>
            <w:tcW w:w="1791" w:type="dxa"/>
          </w:tcPr>
          <w:p w14:paraId="18784A1D"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2946" w:type="dxa"/>
          </w:tcPr>
          <w:p w14:paraId="59BFF5A7" w14:textId="77777777" w:rsidR="00333E6F" w:rsidRPr="00941418" w:rsidRDefault="00333E6F" w:rsidP="00333E6F">
            <w:pPr>
              <w:rPr>
                <w:rFonts w:ascii="Arial" w:hAnsi="Arial" w:cs="Arial"/>
                <w:sz w:val="18"/>
                <w:szCs w:val="18"/>
              </w:rPr>
            </w:pPr>
            <w:r w:rsidRPr="00941418">
              <w:rPr>
                <w:rFonts w:ascii="Arial" w:hAnsi="Arial" w:cs="Arial"/>
                <w:sz w:val="18"/>
                <w:szCs w:val="18"/>
              </w:rPr>
              <w:t>Perhaps yes.</w:t>
            </w:r>
          </w:p>
          <w:p w14:paraId="343FED92" w14:textId="77777777" w:rsidR="00333E6F" w:rsidRPr="00941418" w:rsidRDefault="00333E6F" w:rsidP="00333E6F">
            <w:pPr>
              <w:rPr>
                <w:rFonts w:ascii="Arial" w:hAnsi="Arial" w:cs="Arial"/>
                <w:sz w:val="18"/>
                <w:szCs w:val="18"/>
              </w:rPr>
            </w:pPr>
            <w:r w:rsidRPr="00941418">
              <w:rPr>
                <w:rFonts w:ascii="Arial" w:hAnsi="Arial" w:cs="Arial"/>
                <w:sz w:val="18"/>
                <w:szCs w:val="18"/>
              </w:rPr>
              <w:t>But is dependent on interim survival exemption</w:t>
            </w:r>
          </w:p>
        </w:tc>
        <w:tc>
          <w:tcPr>
            <w:tcW w:w="1343" w:type="dxa"/>
          </w:tcPr>
          <w:p w14:paraId="1389D514" w14:textId="77777777" w:rsidR="00333E6F" w:rsidRPr="00941418" w:rsidRDefault="00333E6F" w:rsidP="00333E6F">
            <w:pPr>
              <w:rPr>
                <w:rFonts w:ascii="Arial" w:hAnsi="Arial" w:cs="Arial"/>
                <w:sz w:val="18"/>
                <w:szCs w:val="18"/>
              </w:rPr>
            </w:pPr>
            <w:r w:rsidRPr="00941418">
              <w:rPr>
                <w:rFonts w:ascii="Arial" w:hAnsi="Arial" w:cs="Arial"/>
                <w:sz w:val="18"/>
                <w:szCs w:val="18"/>
              </w:rPr>
              <w:t>Yes</w:t>
            </w:r>
          </w:p>
          <w:p w14:paraId="29C02E58" w14:textId="77777777" w:rsidR="00333E6F" w:rsidRPr="00941418" w:rsidRDefault="00333E6F" w:rsidP="00333E6F">
            <w:pPr>
              <w:rPr>
                <w:rFonts w:ascii="Arial" w:hAnsi="Arial" w:cs="Arial"/>
                <w:sz w:val="18"/>
                <w:szCs w:val="18"/>
              </w:rPr>
            </w:pPr>
            <w:r w:rsidRPr="00941418">
              <w:rPr>
                <w:rFonts w:ascii="Arial" w:hAnsi="Arial" w:cs="Arial"/>
                <w:sz w:val="18"/>
                <w:szCs w:val="18"/>
              </w:rPr>
              <w:t>If no survival exemption in place</w:t>
            </w:r>
          </w:p>
        </w:tc>
      </w:tr>
      <w:tr w:rsidR="00333E6F" w14:paraId="46F9B0D6" w14:textId="77777777" w:rsidTr="001264FC">
        <w:tc>
          <w:tcPr>
            <w:tcW w:w="2233" w:type="dxa"/>
          </w:tcPr>
          <w:p w14:paraId="489E2A3D" w14:textId="77777777" w:rsidR="00333E6F" w:rsidRPr="00941418" w:rsidRDefault="00333E6F" w:rsidP="00333E6F">
            <w:pPr>
              <w:rPr>
                <w:rFonts w:ascii="Arial" w:hAnsi="Arial" w:cs="Arial"/>
                <w:sz w:val="18"/>
                <w:szCs w:val="18"/>
              </w:rPr>
            </w:pPr>
            <w:r w:rsidRPr="00941418">
              <w:rPr>
                <w:rFonts w:ascii="Arial" w:hAnsi="Arial" w:cs="Arial"/>
                <w:b/>
                <w:sz w:val="18"/>
                <w:szCs w:val="18"/>
              </w:rPr>
              <w:t xml:space="preserve">Saithe </w:t>
            </w:r>
            <w:r w:rsidRPr="00941418">
              <w:rPr>
                <w:rFonts w:ascii="Arial" w:hAnsi="Arial" w:cs="Arial"/>
                <w:sz w:val="18"/>
                <w:szCs w:val="18"/>
              </w:rPr>
              <w:t>(p</w:t>
            </w:r>
            <w:proofErr w:type="spellStart"/>
            <w:r w:rsidRPr="00941418">
              <w:rPr>
                <w:rFonts w:ascii="Arial" w:hAnsi="Arial" w:cs="Arial"/>
                <w:sz w:val="18"/>
                <w:szCs w:val="18"/>
                <w:lang w:val="en-US"/>
              </w:rPr>
              <w:t>ollachius</w:t>
            </w:r>
            <w:proofErr w:type="spellEnd"/>
            <w:r w:rsidRPr="00941418">
              <w:rPr>
                <w:rFonts w:ascii="Arial" w:hAnsi="Arial" w:cs="Arial"/>
                <w:sz w:val="18"/>
                <w:szCs w:val="18"/>
                <w:lang w:val="en-US"/>
              </w:rPr>
              <w:t xml:space="preserve"> </w:t>
            </w:r>
            <w:proofErr w:type="spellStart"/>
            <w:r w:rsidRPr="00941418">
              <w:rPr>
                <w:rFonts w:ascii="Arial" w:hAnsi="Arial" w:cs="Arial"/>
                <w:sz w:val="18"/>
                <w:szCs w:val="18"/>
                <w:lang w:val="en-US"/>
              </w:rPr>
              <w:t>virens</w:t>
            </w:r>
            <w:proofErr w:type="spellEnd"/>
            <w:r w:rsidRPr="00941418">
              <w:rPr>
                <w:rFonts w:ascii="Arial" w:hAnsi="Arial" w:cs="Arial"/>
                <w:sz w:val="18"/>
                <w:szCs w:val="18"/>
                <w:lang w:val="en-US"/>
              </w:rPr>
              <w:t xml:space="preserve"> </w:t>
            </w:r>
            <w:proofErr w:type="spellStart"/>
            <w:r w:rsidRPr="00941418">
              <w:rPr>
                <w:rFonts w:ascii="Arial" w:hAnsi="Arial" w:cs="Arial"/>
                <w:sz w:val="18"/>
                <w:szCs w:val="18"/>
                <w:lang w:val="en-US"/>
              </w:rPr>
              <w:t>IIa</w:t>
            </w:r>
            <w:proofErr w:type="spellEnd"/>
            <w:r w:rsidRPr="00941418">
              <w:rPr>
                <w:rFonts w:ascii="Arial" w:hAnsi="Arial" w:cs="Arial"/>
                <w:sz w:val="18"/>
                <w:szCs w:val="18"/>
                <w:lang w:val="en-US"/>
              </w:rPr>
              <w:t xml:space="preserve"> and IV; Union waters of </w:t>
            </w:r>
            <w:proofErr w:type="spellStart"/>
            <w:r w:rsidRPr="00941418">
              <w:rPr>
                <w:rFonts w:ascii="Arial" w:hAnsi="Arial" w:cs="Arial"/>
                <w:sz w:val="18"/>
                <w:szCs w:val="18"/>
                <w:lang w:val="en-US"/>
              </w:rPr>
              <w:t>IIa</w:t>
            </w:r>
            <w:proofErr w:type="spellEnd"/>
            <w:r w:rsidRPr="00941418">
              <w:rPr>
                <w:rFonts w:ascii="Arial" w:hAnsi="Arial" w:cs="Arial"/>
                <w:sz w:val="18"/>
                <w:szCs w:val="18"/>
                <w:lang w:val="en-US"/>
              </w:rPr>
              <w:t>)</w:t>
            </w:r>
          </w:p>
        </w:tc>
        <w:tc>
          <w:tcPr>
            <w:tcW w:w="1170" w:type="dxa"/>
          </w:tcPr>
          <w:p w14:paraId="76C7464A" w14:textId="77777777" w:rsidR="00333E6F" w:rsidRPr="00941418" w:rsidRDefault="00333E6F" w:rsidP="00333E6F">
            <w:pPr>
              <w:jc w:val="center"/>
              <w:rPr>
                <w:rFonts w:ascii="Arial" w:hAnsi="Arial" w:cs="Arial"/>
                <w:sz w:val="18"/>
                <w:szCs w:val="18"/>
              </w:rPr>
            </w:pPr>
            <w:r w:rsidRPr="00941418">
              <w:rPr>
                <w:rFonts w:ascii="Arial" w:hAnsi="Arial" w:cs="Arial"/>
                <w:sz w:val="18"/>
                <w:szCs w:val="18"/>
              </w:rPr>
              <w:t>2</w:t>
            </w:r>
          </w:p>
        </w:tc>
        <w:tc>
          <w:tcPr>
            <w:tcW w:w="2712" w:type="dxa"/>
          </w:tcPr>
          <w:p w14:paraId="55E086CF"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1930" w:type="dxa"/>
          </w:tcPr>
          <w:p w14:paraId="21A08BD7" w14:textId="77777777" w:rsidR="00333E6F" w:rsidRPr="00941418" w:rsidRDefault="00333E6F" w:rsidP="00333E6F">
            <w:pPr>
              <w:rPr>
                <w:rFonts w:ascii="Arial" w:hAnsi="Arial" w:cs="Arial"/>
                <w:sz w:val="18"/>
                <w:szCs w:val="18"/>
              </w:rPr>
            </w:pPr>
            <w:r w:rsidRPr="00941418">
              <w:rPr>
                <w:rFonts w:ascii="Arial" w:hAnsi="Arial" w:cs="Arial"/>
                <w:sz w:val="18"/>
                <w:szCs w:val="18"/>
              </w:rPr>
              <w:t>Applicable in the target fishery only</w:t>
            </w:r>
          </w:p>
        </w:tc>
        <w:tc>
          <w:tcPr>
            <w:tcW w:w="1791" w:type="dxa"/>
          </w:tcPr>
          <w:p w14:paraId="27218C60" w14:textId="77777777" w:rsidR="00333E6F" w:rsidRPr="00941418" w:rsidRDefault="00333E6F" w:rsidP="00333E6F">
            <w:pPr>
              <w:rPr>
                <w:rFonts w:ascii="Arial" w:hAnsi="Arial" w:cs="Arial"/>
                <w:sz w:val="18"/>
                <w:szCs w:val="18"/>
              </w:rPr>
            </w:pPr>
            <w:r w:rsidRPr="00941418">
              <w:rPr>
                <w:rFonts w:ascii="Arial" w:hAnsi="Arial" w:cs="Arial"/>
                <w:sz w:val="18"/>
                <w:szCs w:val="18"/>
              </w:rPr>
              <w:t>Applicable – Depends on the biological status of the donor stock</w:t>
            </w:r>
          </w:p>
        </w:tc>
        <w:tc>
          <w:tcPr>
            <w:tcW w:w="2946" w:type="dxa"/>
          </w:tcPr>
          <w:p w14:paraId="4D130D79" w14:textId="77777777" w:rsidR="00333E6F" w:rsidRPr="00941418" w:rsidRDefault="00333E6F" w:rsidP="00333E6F">
            <w:pPr>
              <w:rPr>
                <w:rFonts w:ascii="Arial" w:hAnsi="Arial" w:cs="Arial"/>
                <w:sz w:val="18"/>
                <w:szCs w:val="18"/>
              </w:rPr>
            </w:pPr>
            <w:r w:rsidRPr="00941418">
              <w:rPr>
                <w:rFonts w:ascii="Arial" w:hAnsi="Arial" w:cs="Arial"/>
                <w:sz w:val="18"/>
                <w:szCs w:val="18"/>
              </w:rPr>
              <w:t>Yes.</w:t>
            </w:r>
          </w:p>
          <w:p w14:paraId="6EF8C98C" w14:textId="77777777" w:rsidR="00333E6F" w:rsidRPr="00941418" w:rsidRDefault="00333E6F" w:rsidP="00333E6F">
            <w:pPr>
              <w:rPr>
                <w:rFonts w:ascii="Arial" w:hAnsi="Arial" w:cs="Arial"/>
                <w:sz w:val="18"/>
                <w:szCs w:val="18"/>
              </w:rPr>
            </w:pPr>
            <w:r w:rsidRPr="00941418">
              <w:rPr>
                <w:rFonts w:ascii="Arial" w:hAnsi="Arial" w:cs="Arial"/>
                <w:sz w:val="18"/>
                <w:szCs w:val="18"/>
                <w:lang w:val="en-US"/>
              </w:rPr>
              <w:t>dependent of the level of exchanges between MS to optimize the TAC consumption</w:t>
            </w:r>
          </w:p>
        </w:tc>
        <w:tc>
          <w:tcPr>
            <w:tcW w:w="1343" w:type="dxa"/>
          </w:tcPr>
          <w:p w14:paraId="595903F5" w14:textId="77777777" w:rsidR="00333E6F" w:rsidRPr="00941418" w:rsidRDefault="00333E6F" w:rsidP="00333E6F">
            <w:pPr>
              <w:rPr>
                <w:rFonts w:ascii="Arial" w:hAnsi="Arial" w:cs="Arial"/>
                <w:sz w:val="18"/>
                <w:szCs w:val="18"/>
              </w:rPr>
            </w:pPr>
          </w:p>
        </w:tc>
      </w:tr>
      <w:tr w:rsidR="00333E6F" w14:paraId="422624E4" w14:textId="77777777" w:rsidTr="001264FC">
        <w:tc>
          <w:tcPr>
            <w:tcW w:w="2233" w:type="dxa"/>
          </w:tcPr>
          <w:p w14:paraId="13618556" w14:textId="77777777" w:rsidR="00333E6F" w:rsidRPr="00941418" w:rsidRDefault="00333E6F" w:rsidP="00333E6F">
            <w:pPr>
              <w:rPr>
                <w:rFonts w:ascii="Arial" w:hAnsi="Arial" w:cs="Arial"/>
                <w:sz w:val="18"/>
                <w:szCs w:val="18"/>
              </w:rPr>
            </w:pPr>
            <w:bookmarkStart w:id="1" w:name="_GoBack"/>
            <w:bookmarkEnd w:id="1"/>
            <w:r w:rsidRPr="00941418">
              <w:rPr>
                <w:rFonts w:ascii="Arial" w:hAnsi="Arial" w:cs="Arial"/>
                <w:b/>
                <w:sz w:val="18"/>
                <w:szCs w:val="18"/>
              </w:rPr>
              <w:t>Seabass</w:t>
            </w:r>
          </w:p>
        </w:tc>
        <w:tc>
          <w:tcPr>
            <w:tcW w:w="1170" w:type="dxa"/>
          </w:tcPr>
          <w:p w14:paraId="1F44E59F" w14:textId="77777777" w:rsidR="00333E6F" w:rsidRPr="00941418" w:rsidRDefault="00333E6F" w:rsidP="00333E6F">
            <w:pPr>
              <w:jc w:val="center"/>
              <w:rPr>
                <w:rFonts w:ascii="Arial" w:hAnsi="Arial" w:cs="Arial"/>
                <w:sz w:val="18"/>
                <w:szCs w:val="18"/>
              </w:rPr>
            </w:pPr>
            <w:r w:rsidRPr="00941418">
              <w:rPr>
                <w:rFonts w:ascii="Arial" w:hAnsi="Arial" w:cs="Arial"/>
                <w:sz w:val="18"/>
                <w:szCs w:val="18"/>
              </w:rPr>
              <w:t>Not applicable – No TAC</w:t>
            </w:r>
          </w:p>
        </w:tc>
        <w:tc>
          <w:tcPr>
            <w:tcW w:w="2712" w:type="dxa"/>
          </w:tcPr>
          <w:p w14:paraId="3129D323"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 May be an option in longer term but requires research</w:t>
            </w:r>
          </w:p>
        </w:tc>
        <w:tc>
          <w:tcPr>
            <w:tcW w:w="1930" w:type="dxa"/>
          </w:tcPr>
          <w:p w14:paraId="2C95BF68"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1791" w:type="dxa"/>
          </w:tcPr>
          <w:p w14:paraId="07DCBC85"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2946" w:type="dxa"/>
          </w:tcPr>
          <w:p w14:paraId="3A38F596" w14:textId="77777777" w:rsidR="00333E6F" w:rsidRPr="00941418" w:rsidRDefault="00333E6F" w:rsidP="00333E6F">
            <w:pPr>
              <w:rPr>
                <w:rFonts w:ascii="Arial" w:hAnsi="Arial" w:cs="Arial"/>
                <w:sz w:val="18"/>
                <w:szCs w:val="18"/>
              </w:rPr>
            </w:pPr>
            <w:r w:rsidRPr="00941418">
              <w:rPr>
                <w:rFonts w:ascii="Arial" w:hAnsi="Arial" w:cs="Arial"/>
                <w:sz w:val="18"/>
                <w:szCs w:val="18"/>
              </w:rPr>
              <w:t>No</w:t>
            </w:r>
          </w:p>
        </w:tc>
        <w:tc>
          <w:tcPr>
            <w:tcW w:w="1343" w:type="dxa"/>
          </w:tcPr>
          <w:p w14:paraId="363248F8" w14:textId="77777777" w:rsidR="00333E6F" w:rsidRPr="00941418" w:rsidRDefault="00333E6F" w:rsidP="00333E6F">
            <w:pPr>
              <w:rPr>
                <w:rFonts w:ascii="Arial" w:hAnsi="Arial" w:cs="Arial"/>
                <w:sz w:val="18"/>
                <w:szCs w:val="18"/>
              </w:rPr>
            </w:pPr>
            <w:r w:rsidRPr="00941418">
              <w:rPr>
                <w:rFonts w:ascii="Arial" w:hAnsi="Arial" w:cs="Arial"/>
                <w:sz w:val="18"/>
                <w:szCs w:val="18"/>
              </w:rPr>
              <w:t>Yes</w:t>
            </w:r>
          </w:p>
        </w:tc>
      </w:tr>
      <w:tr w:rsidR="00333E6F" w14:paraId="440C7E4A" w14:textId="77777777" w:rsidTr="001264FC">
        <w:tc>
          <w:tcPr>
            <w:tcW w:w="2233" w:type="dxa"/>
          </w:tcPr>
          <w:p w14:paraId="4C620DA7" w14:textId="77777777" w:rsidR="00333E6F" w:rsidRPr="00941418" w:rsidRDefault="00333E6F" w:rsidP="00333E6F">
            <w:pPr>
              <w:rPr>
                <w:rFonts w:ascii="Arial" w:hAnsi="Arial" w:cs="Arial"/>
                <w:sz w:val="18"/>
                <w:szCs w:val="18"/>
              </w:rPr>
            </w:pPr>
            <w:r w:rsidRPr="00941418">
              <w:rPr>
                <w:rFonts w:ascii="Arial" w:hAnsi="Arial" w:cs="Arial"/>
                <w:b/>
                <w:sz w:val="18"/>
                <w:szCs w:val="18"/>
              </w:rPr>
              <w:t>Skates and rays</w:t>
            </w:r>
            <w:r w:rsidRPr="00941418">
              <w:rPr>
                <w:rFonts w:ascii="Arial" w:hAnsi="Arial" w:cs="Arial"/>
                <w:sz w:val="18"/>
                <w:szCs w:val="18"/>
              </w:rPr>
              <w:t xml:space="preserve"> (covered by the skate group TAC)</w:t>
            </w:r>
          </w:p>
          <w:p w14:paraId="68B29CCD" w14:textId="77777777" w:rsidR="00333E6F" w:rsidRPr="00941418" w:rsidRDefault="00333E6F" w:rsidP="00333E6F">
            <w:pPr>
              <w:rPr>
                <w:rFonts w:ascii="Arial" w:hAnsi="Arial" w:cs="Arial"/>
                <w:sz w:val="18"/>
                <w:szCs w:val="18"/>
              </w:rPr>
            </w:pPr>
          </w:p>
        </w:tc>
        <w:tc>
          <w:tcPr>
            <w:tcW w:w="1170" w:type="dxa"/>
          </w:tcPr>
          <w:p w14:paraId="27365C36" w14:textId="77777777" w:rsidR="00333E6F" w:rsidRPr="00941418" w:rsidRDefault="00333E6F" w:rsidP="00333E6F">
            <w:pPr>
              <w:jc w:val="center"/>
              <w:rPr>
                <w:rFonts w:ascii="Arial" w:hAnsi="Arial" w:cs="Arial"/>
                <w:sz w:val="18"/>
                <w:szCs w:val="18"/>
              </w:rPr>
            </w:pPr>
            <w:r w:rsidRPr="00941418">
              <w:rPr>
                <w:rFonts w:ascii="Arial" w:hAnsi="Arial" w:cs="Arial"/>
                <w:sz w:val="18"/>
                <w:szCs w:val="18"/>
              </w:rPr>
              <w:t>3</w:t>
            </w:r>
          </w:p>
        </w:tc>
        <w:tc>
          <w:tcPr>
            <w:tcW w:w="2712" w:type="dxa"/>
          </w:tcPr>
          <w:p w14:paraId="6B7C4122" w14:textId="77777777" w:rsidR="00333E6F" w:rsidRPr="00941418" w:rsidRDefault="00333E6F" w:rsidP="00333E6F">
            <w:pPr>
              <w:rPr>
                <w:rFonts w:ascii="Arial" w:hAnsi="Arial" w:cs="Arial"/>
                <w:sz w:val="18"/>
                <w:szCs w:val="18"/>
              </w:rPr>
            </w:pPr>
            <w:r w:rsidRPr="00941418">
              <w:rPr>
                <w:rFonts w:ascii="Arial" w:hAnsi="Arial" w:cs="Arial"/>
                <w:sz w:val="18"/>
                <w:szCs w:val="18"/>
              </w:rPr>
              <w:t>The Dutch government has put forward a proposal for a temporary (3 year) high survival exemption which is conditional on additional research on all species in all metiers and an obligation for operators to implement measures on avoidance, selectivity and survival.</w:t>
            </w:r>
          </w:p>
          <w:p w14:paraId="18DB9410" w14:textId="77777777" w:rsidR="00333E6F" w:rsidRPr="00941418" w:rsidRDefault="00333E6F" w:rsidP="00333E6F">
            <w:pPr>
              <w:rPr>
                <w:rFonts w:ascii="Arial" w:hAnsi="Arial" w:cs="Arial"/>
                <w:sz w:val="18"/>
                <w:szCs w:val="18"/>
              </w:rPr>
            </w:pPr>
          </w:p>
        </w:tc>
        <w:tc>
          <w:tcPr>
            <w:tcW w:w="1930" w:type="dxa"/>
          </w:tcPr>
          <w:p w14:paraId="3ACBF411"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1791" w:type="dxa"/>
          </w:tcPr>
          <w:p w14:paraId="3D5F0A3D"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2946" w:type="dxa"/>
          </w:tcPr>
          <w:p w14:paraId="0218ACBE" w14:textId="77777777" w:rsidR="00333E6F" w:rsidRPr="00941418" w:rsidRDefault="00333E6F" w:rsidP="00333E6F">
            <w:pPr>
              <w:rPr>
                <w:rFonts w:ascii="Arial" w:hAnsi="Arial" w:cs="Arial"/>
                <w:sz w:val="18"/>
                <w:szCs w:val="18"/>
              </w:rPr>
            </w:pPr>
            <w:r w:rsidRPr="00941418">
              <w:rPr>
                <w:rFonts w:ascii="Arial" w:hAnsi="Arial" w:cs="Arial"/>
                <w:sz w:val="18"/>
                <w:szCs w:val="18"/>
              </w:rPr>
              <w:t>Yes.</w:t>
            </w:r>
            <w:r w:rsidRPr="00941418">
              <w:rPr>
                <w:rFonts w:ascii="Arial" w:hAnsi="Arial" w:cs="Arial"/>
                <w:sz w:val="18"/>
                <w:szCs w:val="18"/>
              </w:rPr>
              <w:br/>
              <w:t>If Dutch government proposal is accepted</w:t>
            </w:r>
          </w:p>
        </w:tc>
        <w:tc>
          <w:tcPr>
            <w:tcW w:w="1343" w:type="dxa"/>
          </w:tcPr>
          <w:p w14:paraId="07A79BB1" w14:textId="77777777" w:rsidR="00333E6F" w:rsidRPr="00941418" w:rsidRDefault="00333E6F" w:rsidP="00333E6F">
            <w:pPr>
              <w:rPr>
                <w:rFonts w:ascii="Arial" w:hAnsi="Arial" w:cs="Arial"/>
                <w:sz w:val="18"/>
                <w:szCs w:val="18"/>
              </w:rPr>
            </w:pPr>
          </w:p>
        </w:tc>
      </w:tr>
      <w:tr w:rsidR="00333E6F" w14:paraId="3CF8A79A" w14:textId="77777777" w:rsidTr="001264FC">
        <w:tc>
          <w:tcPr>
            <w:tcW w:w="2233" w:type="dxa"/>
          </w:tcPr>
          <w:p w14:paraId="2E55B511" w14:textId="77777777" w:rsidR="00333E6F" w:rsidRPr="00941418" w:rsidRDefault="00333E6F" w:rsidP="00333E6F">
            <w:pPr>
              <w:rPr>
                <w:rFonts w:ascii="Arial" w:hAnsi="Arial" w:cs="Arial"/>
                <w:sz w:val="18"/>
                <w:szCs w:val="18"/>
              </w:rPr>
            </w:pPr>
            <w:r w:rsidRPr="00941418">
              <w:rPr>
                <w:rFonts w:ascii="Arial" w:hAnsi="Arial" w:cs="Arial"/>
                <w:b/>
                <w:sz w:val="18"/>
                <w:szCs w:val="18"/>
              </w:rPr>
              <w:t>Whiting</w:t>
            </w:r>
            <w:r w:rsidRPr="00941418">
              <w:rPr>
                <w:rFonts w:ascii="Arial" w:hAnsi="Arial" w:cs="Arial"/>
                <w:sz w:val="18"/>
                <w:szCs w:val="18"/>
              </w:rPr>
              <w:t xml:space="preserve"> (</w:t>
            </w:r>
            <w:proofErr w:type="spellStart"/>
            <w:r w:rsidRPr="00941418">
              <w:rPr>
                <w:rFonts w:ascii="Arial" w:hAnsi="Arial" w:cs="Arial"/>
                <w:sz w:val="18"/>
                <w:szCs w:val="18"/>
                <w:lang w:val="en-US"/>
              </w:rPr>
              <w:t>Merlangius</w:t>
            </w:r>
            <w:proofErr w:type="spellEnd"/>
            <w:r w:rsidRPr="00941418">
              <w:rPr>
                <w:rFonts w:ascii="Arial" w:hAnsi="Arial" w:cs="Arial"/>
                <w:sz w:val="18"/>
                <w:szCs w:val="18"/>
                <w:lang w:val="en-US"/>
              </w:rPr>
              <w:t xml:space="preserve"> </w:t>
            </w:r>
            <w:proofErr w:type="spellStart"/>
            <w:r w:rsidRPr="00941418">
              <w:rPr>
                <w:rFonts w:ascii="Arial" w:hAnsi="Arial" w:cs="Arial"/>
                <w:sz w:val="18"/>
                <w:szCs w:val="18"/>
                <w:lang w:val="en-US"/>
              </w:rPr>
              <w:t>merlangus</w:t>
            </w:r>
            <w:proofErr w:type="spellEnd"/>
            <w:r w:rsidRPr="00941418">
              <w:rPr>
                <w:rFonts w:ascii="Arial" w:hAnsi="Arial" w:cs="Arial"/>
                <w:sz w:val="18"/>
                <w:szCs w:val="18"/>
                <w:lang w:val="en-US"/>
              </w:rPr>
              <w:t xml:space="preserve"> </w:t>
            </w:r>
            <w:r w:rsidRPr="00941418">
              <w:rPr>
                <w:rFonts w:ascii="Arial" w:hAnsi="Arial" w:cs="Arial"/>
                <w:sz w:val="18"/>
                <w:szCs w:val="18"/>
              </w:rPr>
              <w:t>IV</w:t>
            </w:r>
            <w:r w:rsidRPr="00941418">
              <w:rPr>
                <w:rFonts w:ascii="Arial" w:hAnsi="Arial" w:cs="Arial"/>
                <w:sz w:val="18"/>
                <w:szCs w:val="18"/>
                <w:lang w:val="en-US"/>
              </w:rPr>
              <w:t xml:space="preserve">; Union waters of </w:t>
            </w:r>
            <w:proofErr w:type="spellStart"/>
            <w:r w:rsidRPr="00941418">
              <w:rPr>
                <w:rFonts w:ascii="Arial" w:hAnsi="Arial" w:cs="Arial"/>
                <w:sz w:val="18"/>
                <w:szCs w:val="18"/>
                <w:lang w:val="en-US"/>
              </w:rPr>
              <w:t>IIa</w:t>
            </w:r>
            <w:proofErr w:type="spellEnd"/>
            <w:r w:rsidRPr="00941418">
              <w:rPr>
                <w:rFonts w:ascii="Arial" w:hAnsi="Arial" w:cs="Arial"/>
                <w:sz w:val="18"/>
                <w:szCs w:val="18"/>
                <w:lang w:val="en-US"/>
              </w:rPr>
              <w:t>)</w:t>
            </w:r>
          </w:p>
        </w:tc>
        <w:tc>
          <w:tcPr>
            <w:tcW w:w="1170" w:type="dxa"/>
          </w:tcPr>
          <w:p w14:paraId="29100FB7" w14:textId="77777777" w:rsidR="00333E6F" w:rsidRPr="00941418" w:rsidRDefault="00333E6F" w:rsidP="00333E6F">
            <w:pPr>
              <w:jc w:val="center"/>
              <w:rPr>
                <w:rFonts w:ascii="Arial" w:hAnsi="Arial" w:cs="Arial"/>
                <w:sz w:val="18"/>
                <w:szCs w:val="18"/>
              </w:rPr>
            </w:pPr>
            <w:r w:rsidRPr="00941418">
              <w:rPr>
                <w:rFonts w:ascii="Arial" w:hAnsi="Arial" w:cs="Arial"/>
                <w:sz w:val="18"/>
                <w:szCs w:val="18"/>
              </w:rPr>
              <w:t>2 or 3</w:t>
            </w:r>
          </w:p>
        </w:tc>
        <w:tc>
          <w:tcPr>
            <w:tcW w:w="2712" w:type="dxa"/>
          </w:tcPr>
          <w:p w14:paraId="68379E58"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1930" w:type="dxa"/>
          </w:tcPr>
          <w:p w14:paraId="38C27F05" w14:textId="77777777" w:rsidR="00333E6F" w:rsidRPr="00941418" w:rsidRDefault="00333E6F" w:rsidP="00333E6F">
            <w:pPr>
              <w:rPr>
                <w:rFonts w:ascii="Arial" w:hAnsi="Arial" w:cs="Arial"/>
                <w:sz w:val="18"/>
                <w:szCs w:val="18"/>
              </w:rPr>
            </w:pPr>
            <w:r w:rsidRPr="00941418">
              <w:rPr>
                <w:rFonts w:ascii="Arial" w:hAnsi="Arial" w:cs="Arial"/>
                <w:sz w:val="18"/>
                <w:szCs w:val="18"/>
              </w:rPr>
              <w:t>Yes</w:t>
            </w:r>
          </w:p>
        </w:tc>
        <w:tc>
          <w:tcPr>
            <w:tcW w:w="1791" w:type="dxa"/>
          </w:tcPr>
          <w:p w14:paraId="188FAF9F" w14:textId="77777777" w:rsidR="00333E6F" w:rsidRPr="00941418" w:rsidRDefault="00333E6F" w:rsidP="00333E6F">
            <w:pPr>
              <w:rPr>
                <w:rFonts w:ascii="Arial" w:hAnsi="Arial" w:cs="Arial"/>
                <w:sz w:val="18"/>
                <w:szCs w:val="18"/>
              </w:rPr>
            </w:pPr>
            <w:r w:rsidRPr="00941418">
              <w:rPr>
                <w:rFonts w:ascii="Arial" w:hAnsi="Arial" w:cs="Arial"/>
                <w:sz w:val="18"/>
                <w:szCs w:val="18"/>
              </w:rPr>
              <w:t>Not Applicable</w:t>
            </w:r>
          </w:p>
        </w:tc>
        <w:tc>
          <w:tcPr>
            <w:tcW w:w="2946" w:type="dxa"/>
          </w:tcPr>
          <w:p w14:paraId="5B512134" w14:textId="77777777" w:rsidR="00333E6F" w:rsidRPr="00941418" w:rsidRDefault="00333E6F" w:rsidP="00333E6F">
            <w:pPr>
              <w:rPr>
                <w:rFonts w:ascii="Arial" w:hAnsi="Arial" w:cs="Arial"/>
                <w:sz w:val="18"/>
                <w:szCs w:val="18"/>
              </w:rPr>
            </w:pPr>
            <w:r w:rsidRPr="00941418">
              <w:rPr>
                <w:rFonts w:ascii="Arial" w:hAnsi="Arial" w:cs="Arial"/>
                <w:sz w:val="18"/>
                <w:szCs w:val="18"/>
              </w:rPr>
              <w:t>Partially</w:t>
            </w:r>
          </w:p>
        </w:tc>
        <w:tc>
          <w:tcPr>
            <w:tcW w:w="1343" w:type="dxa"/>
          </w:tcPr>
          <w:p w14:paraId="5273BBCE" w14:textId="77777777" w:rsidR="00333E6F" w:rsidRPr="00941418" w:rsidRDefault="00333E6F" w:rsidP="00333E6F">
            <w:pPr>
              <w:rPr>
                <w:rFonts w:ascii="Arial" w:hAnsi="Arial" w:cs="Arial"/>
                <w:sz w:val="18"/>
                <w:szCs w:val="18"/>
              </w:rPr>
            </w:pPr>
            <w:r w:rsidRPr="00941418">
              <w:rPr>
                <w:rFonts w:ascii="Arial" w:hAnsi="Arial" w:cs="Arial"/>
                <w:sz w:val="18"/>
                <w:szCs w:val="18"/>
              </w:rPr>
              <w:t>Yes</w:t>
            </w:r>
          </w:p>
        </w:tc>
      </w:tr>
    </w:tbl>
    <w:p w14:paraId="2A4289A7" w14:textId="77777777" w:rsidR="00342D10" w:rsidRPr="00342D10" w:rsidRDefault="00342D10">
      <w:pPr>
        <w:rPr>
          <w:rFonts w:ascii="Arial" w:hAnsi="Arial" w:cs="Arial"/>
        </w:rPr>
      </w:pPr>
    </w:p>
    <w:sectPr w:rsidR="00342D10" w:rsidRPr="00342D10" w:rsidSect="00D952C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6987" w14:textId="77777777" w:rsidR="00235686" w:rsidRDefault="00235686" w:rsidP="00235686">
      <w:pPr>
        <w:spacing w:after="0" w:line="240" w:lineRule="auto"/>
      </w:pPr>
      <w:r>
        <w:separator/>
      </w:r>
    </w:p>
  </w:endnote>
  <w:endnote w:type="continuationSeparator" w:id="0">
    <w:p w14:paraId="0C6E9302" w14:textId="77777777" w:rsidR="00235686" w:rsidRDefault="00235686" w:rsidP="0023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0C36" w14:textId="6D6296CB" w:rsidR="00235686" w:rsidRDefault="00235686" w:rsidP="00235686">
    <w:pPr>
      <w:pStyle w:val="Footer"/>
      <w:rPr>
        <w:rStyle w:val="Strong"/>
        <w:rFonts w:cs="Arial"/>
        <w:sz w:val="18"/>
        <w:szCs w:val="18"/>
      </w:rPr>
    </w:pPr>
    <w:r>
      <w:rPr>
        <w:noProof/>
      </w:rPr>
      <w:drawing>
        <wp:anchor distT="0" distB="0" distL="114300" distR="114300" simplePos="0" relativeHeight="251658240" behindDoc="0" locked="0" layoutInCell="1" allowOverlap="1" wp14:anchorId="3819935C" wp14:editId="11368A05">
          <wp:simplePos x="0" y="0"/>
          <wp:positionH relativeFrom="margin">
            <wp:posOffset>5838825</wp:posOffset>
          </wp:positionH>
          <wp:positionV relativeFrom="margin">
            <wp:posOffset>8821420</wp:posOffset>
          </wp:positionV>
          <wp:extent cx="628650" cy="424815"/>
          <wp:effectExtent l="0" t="0" r="0" b="0"/>
          <wp:wrapSquare wrapText="bothSides"/>
          <wp:docPr id="1" name="Picture 1"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F0A">
      <w:rPr>
        <w:rStyle w:val="Strong"/>
        <w:rFonts w:cs="Arial"/>
        <w:sz w:val="18"/>
        <w:szCs w:val="18"/>
      </w:rPr>
      <w:t xml:space="preserve">NSAC draft advice is for consideration by NSAC members only. It does not represent the </w:t>
    </w:r>
    <w:r>
      <w:rPr>
        <w:rStyle w:val="Strong"/>
        <w:rFonts w:cs="Arial"/>
        <w:sz w:val="18"/>
        <w:szCs w:val="18"/>
      </w:rPr>
      <w:t>agreed opinion</w:t>
    </w:r>
    <w:r w:rsidRPr="006D6F0A">
      <w:rPr>
        <w:rStyle w:val="Strong"/>
        <w:rFonts w:cs="Arial"/>
        <w:sz w:val="18"/>
        <w:szCs w:val="18"/>
      </w:rPr>
      <w:t xml:space="preserve"> of the NSAC and must NOT be copied or circulated to others without prior approval of the NSAC Executive Committee.</w:t>
    </w:r>
  </w:p>
  <w:p w14:paraId="0D3EF7B4" w14:textId="7CB9579A" w:rsidR="00235686" w:rsidRDefault="00235686">
    <w:pPr>
      <w:pStyle w:val="Footer"/>
    </w:pPr>
  </w:p>
  <w:p w14:paraId="5EB00A5F" w14:textId="77777777" w:rsidR="00235686" w:rsidRDefault="00235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311F" w14:textId="77777777" w:rsidR="00235686" w:rsidRDefault="00235686" w:rsidP="00235686">
      <w:pPr>
        <w:spacing w:after="0" w:line="240" w:lineRule="auto"/>
      </w:pPr>
      <w:r>
        <w:separator/>
      </w:r>
    </w:p>
  </w:footnote>
  <w:footnote w:type="continuationSeparator" w:id="0">
    <w:p w14:paraId="3C6E0C09" w14:textId="77777777" w:rsidR="00235686" w:rsidRDefault="00235686" w:rsidP="00235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C0"/>
    <w:rsid w:val="00003CC8"/>
    <w:rsid w:val="001264FC"/>
    <w:rsid w:val="001E5706"/>
    <w:rsid w:val="00235686"/>
    <w:rsid w:val="002358B9"/>
    <w:rsid w:val="00263A22"/>
    <w:rsid w:val="002C29BD"/>
    <w:rsid w:val="002F1A5F"/>
    <w:rsid w:val="00333E6F"/>
    <w:rsid w:val="00342D10"/>
    <w:rsid w:val="003944F7"/>
    <w:rsid w:val="003E5ACA"/>
    <w:rsid w:val="005F4685"/>
    <w:rsid w:val="00660609"/>
    <w:rsid w:val="00723573"/>
    <w:rsid w:val="00753AD4"/>
    <w:rsid w:val="008116F4"/>
    <w:rsid w:val="008B5D2A"/>
    <w:rsid w:val="008C4E9D"/>
    <w:rsid w:val="00941418"/>
    <w:rsid w:val="0094533D"/>
    <w:rsid w:val="00956425"/>
    <w:rsid w:val="009F4F56"/>
    <w:rsid w:val="00A61652"/>
    <w:rsid w:val="00B203D7"/>
    <w:rsid w:val="00CB06B6"/>
    <w:rsid w:val="00CF7B05"/>
    <w:rsid w:val="00D952C0"/>
    <w:rsid w:val="00DB6219"/>
    <w:rsid w:val="00DE2450"/>
    <w:rsid w:val="00E066C0"/>
    <w:rsid w:val="00E46C07"/>
    <w:rsid w:val="00E648E2"/>
    <w:rsid w:val="00EF34CD"/>
    <w:rsid w:val="00F20C94"/>
    <w:rsid w:val="00FE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BC8A6D"/>
  <w15:chartTrackingRefBased/>
  <w15:docId w15:val="{21AAA3C2-3CF6-4B09-B980-4D06008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10"/>
    <w:rPr>
      <w:rFonts w:ascii="Segoe UI" w:hAnsi="Segoe UI" w:cs="Segoe UI"/>
      <w:sz w:val="18"/>
      <w:szCs w:val="18"/>
    </w:rPr>
  </w:style>
  <w:style w:type="paragraph" w:styleId="NormalWeb">
    <w:name w:val="Normal (Web)"/>
    <w:basedOn w:val="Normal"/>
    <w:uiPriority w:val="99"/>
    <w:rsid w:val="00FE73BB"/>
    <w:pPr>
      <w:spacing w:after="200" w:line="276" w:lineRule="auto"/>
    </w:pPr>
    <w:rPr>
      <w:rFonts w:ascii="Times New Roman" w:eastAsia="Calibri" w:hAnsi="Times New Roman" w:cs="Times New Roman"/>
      <w:sz w:val="24"/>
      <w:szCs w:val="24"/>
    </w:rPr>
  </w:style>
  <w:style w:type="character" w:styleId="CommentReference">
    <w:name w:val="annotation reference"/>
    <w:uiPriority w:val="99"/>
    <w:semiHidden/>
    <w:rsid w:val="00E648E2"/>
    <w:rPr>
      <w:rFonts w:cs="Times New Roman"/>
      <w:sz w:val="16"/>
    </w:rPr>
  </w:style>
  <w:style w:type="paragraph" w:styleId="CommentText">
    <w:name w:val="annotation text"/>
    <w:basedOn w:val="Normal"/>
    <w:link w:val="CommentTextChar"/>
    <w:uiPriority w:val="99"/>
    <w:semiHidden/>
    <w:rsid w:val="00E648E2"/>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E648E2"/>
    <w:rPr>
      <w:rFonts w:ascii="Arial" w:eastAsia="Calibri" w:hAnsi="Arial" w:cs="Times New Roman"/>
      <w:sz w:val="20"/>
      <w:szCs w:val="20"/>
      <w:lang w:val="x-none"/>
    </w:rPr>
  </w:style>
  <w:style w:type="paragraph" w:styleId="Header">
    <w:name w:val="header"/>
    <w:basedOn w:val="Normal"/>
    <w:link w:val="HeaderChar"/>
    <w:uiPriority w:val="99"/>
    <w:unhideWhenUsed/>
    <w:rsid w:val="00235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6"/>
  </w:style>
  <w:style w:type="paragraph" w:styleId="Footer">
    <w:name w:val="footer"/>
    <w:basedOn w:val="Normal"/>
    <w:link w:val="FooterChar"/>
    <w:uiPriority w:val="99"/>
    <w:unhideWhenUsed/>
    <w:rsid w:val="00235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6"/>
  </w:style>
  <w:style w:type="character" w:styleId="Strong">
    <w:name w:val="Strong"/>
    <w:uiPriority w:val="22"/>
    <w:qFormat/>
    <w:rsid w:val="00235686"/>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865D9-0812-4A4A-934B-A32DF6803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04397-C166-460E-A06E-C2A9B44BD15B}">
  <ds:schemaRefs>
    <ds:schemaRef ds:uri="http://purl.org/dc/terms/"/>
    <ds:schemaRef ds:uri="9b5e8e2c-a7f2-400f-b01b-7246cd0b8223"/>
    <ds:schemaRef ds:uri="http://schemas.microsoft.com/office/2006/documentManagement/types"/>
    <ds:schemaRef ds:uri="bed8726f-3b78-431b-8f7a-7949c9f1402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C1F9157-3BF6-4CD9-94DD-0E7455230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Duguid</dc:creator>
  <cp:keywords/>
  <dc:description/>
  <cp:lastModifiedBy>Lorna Duguid</cp:lastModifiedBy>
  <cp:revision>5</cp:revision>
  <dcterms:created xsi:type="dcterms:W3CDTF">2018-04-12T10:28:00Z</dcterms:created>
  <dcterms:modified xsi:type="dcterms:W3CDTF">2018-04-12T10:34:00Z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