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FAF3" w14:textId="77777777" w:rsidR="00753AD4" w:rsidRDefault="00753AD4"/>
    <w:p w14:paraId="7C422E64" w14:textId="77777777" w:rsidR="00DE0018" w:rsidRDefault="00DE0018"/>
    <w:p w14:paraId="11FAA4BF" w14:textId="77777777" w:rsidR="00DE0018" w:rsidRDefault="00DE0018"/>
    <w:p w14:paraId="578EF4F3" w14:textId="2B29E143" w:rsidR="00DE0018" w:rsidRDefault="008F4C84">
      <w:pPr>
        <w:rPr>
          <w:rFonts w:ascii="Arial" w:hAnsi="Arial" w:cs="Arial"/>
          <w:b/>
        </w:rPr>
      </w:pPr>
      <w:r>
        <w:rPr>
          <w:rFonts w:ascii="Arial" w:hAnsi="Arial" w:cs="Arial"/>
          <w:b/>
        </w:rPr>
        <w:t xml:space="preserve">Paper </w:t>
      </w:r>
      <w:r w:rsidR="000D728E">
        <w:rPr>
          <w:rFonts w:ascii="Arial" w:hAnsi="Arial" w:cs="Arial"/>
          <w:b/>
        </w:rPr>
        <w:t>9</w:t>
      </w:r>
      <w:bookmarkStart w:id="0" w:name="_GoBack"/>
      <w:bookmarkEnd w:id="0"/>
      <w:r w:rsidRPr="008F4C84">
        <w:rPr>
          <w:rFonts w:ascii="Arial" w:hAnsi="Arial" w:cs="Arial"/>
          <w:b/>
        </w:rPr>
        <w:t>.1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For Information</w:t>
      </w:r>
    </w:p>
    <w:p w14:paraId="0CC20A44" w14:textId="0B1094DE" w:rsidR="008F4C84" w:rsidRDefault="008F4C84">
      <w:pPr>
        <w:rPr>
          <w:rFonts w:ascii="Arial" w:hAnsi="Arial" w:cs="Arial"/>
          <w:b/>
        </w:rPr>
      </w:pPr>
    </w:p>
    <w:p w14:paraId="162BCB0A" w14:textId="2918EF90" w:rsidR="008F4C84" w:rsidRDefault="008F4C84">
      <w:pPr>
        <w:rPr>
          <w:rFonts w:ascii="Arial" w:hAnsi="Arial" w:cs="Arial"/>
          <w:b/>
        </w:rPr>
      </w:pPr>
    </w:p>
    <w:p w14:paraId="3CAB323E" w14:textId="2F1F45B0" w:rsidR="008F4C84" w:rsidRDefault="008F4C84">
      <w:pPr>
        <w:rPr>
          <w:rFonts w:ascii="Arial" w:hAnsi="Arial" w:cs="Arial"/>
          <w:b/>
        </w:rPr>
      </w:pPr>
      <w:r>
        <w:rPr>
          <w:rFonts w:ascii="Arial" w:hAnsi="Arial" w:cs="Arial"/>
          <w:b/>
        </w:rPr>
        <w:t>NSAC Demersal Working Group</w:t>
      </w:r>
    </w:p>
    <w:p w14:paraId="5DC1307A" w14:textId="5BC9B988" w:rsidR="008F4C84" w:rsidRDefault="008F4C84">
      <w:pPr>
        <w:rPr>
          <w:rFonts w:ascii="Arial" w:hAnsi="Arial" w:cs="Arial"/>
          <w:b/>
        </w:rPr>
      </w:pPr>
      <w:r>
        <w:rPr>
          <w:rFonts w:ascii="Arial" w:hAnsi="Arial" w:cs="Arial"/>
          <w:b/>
        </w:rPr>
        <w:t>11</w:t>
      </w:r>
      <w:r w:rsidRPr="008F4C84">
        <w:rPr>
          <w:rFonts w:ascii="Arial" w:hAnsi="Arial" w:cs="Arial"/>
          <w:b/>
          <w:vertAlign w:val="superscript"/>
        </w:rPr>
        <w:t>th</w:t>
      </w:r>
      <w:r>
        <w:rPr>
          <w:rFonts w:ascii="Arial" w:hAnsi="Arial" w:cs="Arial"/>
          <w:b/>
        </w:rPr>
        <w:t xml:space="preserve"> July 2018</w:t>
      </w:r>
    </w:p>
    <w:p w14:paraId="64DF86A6" w14:textId="4B3AD641" w:rsidR="008F4C84" w:rsidRDefault="008F4C84">
      <w:pPr>
        <w:rPr>
          <w:rFonts w:ascii="Arial" w:hAnsi="Arial" w:cs="Arial"/>
          <w:b/>
        </w:rPr>
      </w:pPr>
      <w:r>
        <w:rPr>
          <w:rFonts w:ascii="Arial" w:hAnsi="Arial" w:cs="Arial"/>
          <w:b/>
        </w:rPr>
        <w:t>Edinburgh</w:t>
      </w:r>
    </w:p>
    <w:p w14:paraId="2B3A6299" w14:textId="79E56025" w:rsidR="008F4C84" w:rsidRDefault="008F4C84">
      <w:pPr>
        <w:rPr>
          <w:rFonts w:ascii="Arial" w:hAnsi="Arial" w:cs="Arial"/>
          <w:b/>
        </w:rPr>
      </w:pPr>
    </w:p>
    <w:p w14:paraId="6FA6601A" w14:textId="5CC1BE9A" w:rsidR="008F4C84" w:rsidRDefault="008F4C84">
      <w:pPr>
        <w:rPr>
          <w:rFonts w:ascii="Arial" w:hAnsi="Arial" w:cs="Arial"/>
          <w:b/>
        </w:rPr>
      </w:pPr>
    </w:p>
    <w:p w14:paraId="0FBA0F36" w14:textId="2CC31540" w:rsidR="008F4C84" w:rsidRPr="008F4C84" w:rsidRDefault="008F4C84" w:rsidP="008F4C84">
      <w:pPr>
        <w:jc w:val="center"/>
        <w:rPr>
          <w:rFonts w:ascii="Arial" w:hAnsi="Arial" w:cs="Arial"/>
          <w:b/>
          <w:u w:val="single"/>
        </w:rPr>
      </w:pPr>
      <w:r w:rsidRPr="008F4C84">
        <w:rPr>
          <w:rFonts w:ascii="Arial" w:hAnsi="Arial" w:cs="Arial"/>
          <w:b/>
          <w:u w:val="single"/>
        </w:rPr>
        <w:t>G Mato Request for Advice – Technical Measures</w:t>
      </w:r>
      <w:r>
        <w:rPr>
          <w:rFonts w:ascii="Arial" w:hAnsi="Arial" w:cs="Arial"/>
          <w:b/>
          <w:u w:val="single"/>
        </w:rPr>
        <w:t>, Mesh Sizes</w:t>
      </w:r>
    </w:p>
    <w:p w14:paraId="0165A0BA" w14:textId="32D3B299" w:rsidR="008F4C84" w:rsidRDefault="008F4C84" w:rsidP="008F4C84">
      <w:pPr>
        <w:jc w:val="center"/>
        <w:rPr>
          <w:rFonts w:ascii="Arial" w:hAnsi="Arial" w:cs="Arial"/>
          <w:b/>
        </w:rPr>
      </w:pPr>
    </w:p>
    <w:p w14:paraId="7E7765CE" w14:textId="77777777" w:rsidR="008F4C84" w:rsidRPr="008F4C84" w:rsidRDefault="008F4C84" w:rsidP="008F4C84">
      <w:pPr>
        <w:jc w:val="center"/>
        <w:rPr>
          <w:rFonts w:ascii="Arial" w:hAnsi="Arial" w:cs="Arial"/>
          <w:b/>
        </w:rPr>
      </w:pPr>
    </w:p>
    <w:p w14:paraId="2257E5A5" w14:textId="77777777" w:rsidR="00DE0018" w:rsidRDefault="00DE0018" w:rsidP="00DE0018">
      <w:pPr>
        <w:spacing w:after="240"/>
        <w:outlineLvl w:val="0"/>
        <w:rPr>
          <w:rFonts w:eastAsia="Times New Roman"/>
        </w:rPr>
      </w:pPr>
      <w:r>
        <w:rPr>
          <w:rFonts w:eastAsia="Times New Roman"/>
          <w:b/>
          <w:bCs/>
        </w:rPr>
        <w:t>Subject:</w:t>
      </w:r>
      <w:r>
        <w:rPr>
          <w:rFonts w:eastAsia="Times New Roman"/>
        </w:rPr>
        <w:t xml:space="preserve"> </w:t>
      </w:r>
      <w:r>
        <w:rPr>
          <w:rFonts w:eastAsia="Times New Roman"/>
          <w:b/>
          <w:bCs/>
        </w:rPr>
        <w:t>Technical measures: ACs' opinion on targets and mesh sizes</w:t>
      </w:r>
    </w:p>
    <w:p w14:paraId="2111BCD7" w14:textId="77777777" w:rsidR="00DE0018" w:rsidRDefault="00DE0018" w:rsidP="00DE0018">
      <w:r>
        <w:rPr>
          <w:color w:val="1F497D"/>
        </w:rPr>
        <w:t> </w:t>
      </w:r>
    </w:p>
    <w:p w14:paraId="40864C09" w14:textId="77777777" w:rsidR="00DE0018" w:rsidRDefault="00DE0018" w:rsidP="00DE0018">
      <w:r>
        <w:t>Dear Chairs of Advisory Councils,</w:t>
      </w:r>
    </w:p>
    <w:p w14:paraId="7B1FDD7E" w14:textId="77777777" w:rsidR="00DE0018" w:rsidRDefault="00DE0018" w:rsidP="00DE0018">
      <w:r>
        <w:rPr>
          <w:sz w:val="22"/>
          <w:szCs w:val="22"/>
        </w:rPr>
        <w:t> </w:t>
      </w:r>
    </w:p>
    <w:p w14:paraId="10811E04" w14:textId="77777777" w:rsidR="00DE0018" w:rsidRDefault="00DE0018" w:rsidP="00DE0018">
      <w:r>
        <w:rPr>
          <w:sz w:val="22"/>
          <w:szCs w:val="22"/>
        </w:rPr>
        <w:t xml:space="preserve">I am writing you </w:t>
      </w:r>
      <w:r>
        <w:t xml:space="preserve">in my quality as rapporteur of the European Parliament on the draft regulation on the "conservation of fishery resources and the protection of marine ecosystems through technical measures", which is currently under negotiations between co-legislators. </w:t>
      </w:r>
    </w:p>
    <w:p w14:paraId="44694104" w14:textId="77777777" w:rsidR="00DE0018" w:rsidRDefault="00DE0018" w:rsidP="00DE0018">
      <w:r>
        <w:t> </w:t>
      </w:r>
    </w:p>
    <w:p w14:paraId="14F00DD3" w14:textId="77777777" w:rsidR="00DE0018" w:rsidRDefault="00DE0018" w:rsidP="00DE0018">
      <w:r>
        <w:rPr>
          <w:sz w:val="22"/>
          <w:szCs w:val="22"/>
        </w:rPr>
        <w:t>During the next trilogue, to be held by mid-September, the main issues in the agenda will be: article 4 – "</w:t>
      </w:r>
      <w:r>
        <w:rPr>
          <w:b/>
          <w:bCs/>
          <w:sz w:val="22"/>
          <w:szCs w:val="22"/>
        </w:rPr>
        <w:t>targets</w:t>
      </w:r>
      <w:r>
        <w:rPr>
          <w:sz w:val="22"/>
          <w:szCs w:val="22"/>
        </w:rPr>
        <w:t>" and parts B of the regional annexes (V-XI) – "</w:t>
      </w:r>
      <w:r>
        <w:rPr>
          <w:b/>
          <w:bCs/>
          <w:sz w:val="22"/>
          <w:szCs w:val="22"/>
        </w:rPr>
        <w:t>mesh sizes</w:t>
      </w:r>
      <w:r>
        <w:rPr>
          <w:sz w:val="22"/>
          <w:szCs w:val="22"/>
        </w:rPr>
        <w:t>".</w:t>
      </w:r>
    </w:p>
    <w:p w14:paraId="584F032F" w14:textId="77777777" w:rsidR="00DE0018" w:rsidRDefault="00DE0018" w:rsidP="00DE0018">
      <w:r>
        <w:rPr>
          <w:sz w:val="22"/>
          <w:szCs w:val="22"/>
        </w:rPr>
        <w:t> </w:t>
      </w:r>
    </w:p>
    <w:p w14:paraId="6A3A105E" w14:textId="77777777" w:rsidR="00DE0018" w:rsidRDefault="00DE0018" w:rsidP="00DE0018">
      <w:r>
        <w:t xml:space="preserve">In view of this trilogue and </w:t>
      </w:r>
      <w:proofErr w:type="gramStart"/>
      <w:r>
        <w:t>in order for</w:t>
      </w:r>
      <w:proofErr w:type="gramEnd"/>
      <w:r>
        <w:t xml:space="preserve"> the European Parliament to take an informed decision on both issues, I would very much appreciate your opinion on the recent Commission alternative proposal on article 4 - targets, which was presented during the trilogue of 29 May, compared to the European Parliament's mandate on the same article. </w:t>
      </w:r>
    </w:p>
    <w:p w14:paraId="5092CE5F" w14:textId="77777777" w:rsidR="00DE0018" w:rsidRDefault="00DE0018" w:rsidP="00DE0018">
      <w:r>
        <w:t> </w:t>
      </w:r>
    </w:p>
    <w:p w14:paraId="2B0405C1" w14:textId="77777777" w:rsidR="00DE0018" w:rsidRDefault="00DE0018" w:rsidP="00DE0018">
      <w:r>
        <w:t>As far as the "mesh sizes" is concerned, an alternative to percentages of catches of targeted fish proposed by the Council (and, in some cases, by the European Parliament) might be to delete them and to add the following general phrase at the beginning of part B: "When catches of cod and haddock exceed 10% of the total catch in kilograms of fish retained on board then a mesh size of 120mm shall be used. Vessels may opt to use smaller mesh sizes provided that selectivity modifications as approved by STECF that result in the same or better selectivity characteristics for cod and haddock as that of 120mm." (example, which could hypothetically be applied in the North Sea and to Western Waters).</w:t>
      </w:r>
    </w:p>
    <w:p w14:paraId="545D7E86" w14:textId="77777777" w:rsidR="00DE0018" w:rsidRDefault="00DE0018" w:rsidP="00DE0018">
      <w:r>
        <w:t> </w:t>
      </w:r>
    </w:p>
    <w:p w14:paraId="21CBCA7A" w14:textId="77777777" w:rsidR="00DE0018" w:rsidRDefault="00DE0018" w:rsidP="00DE0018">
      <w:r>
        <w:t xml:space="preserve">I hope it would be possible to get your opinion </w:t>
      </w:r>
      <w:r>
        <w:rPr>
          <w:u w:val="single"/>
        </w:rPr>
        <w:t>by the 1</w:t>
      </w:r>
      <w:r>
        <w:rPr>
          <w:u w:val="single"/>
          <w:vertAlign w:val="superscript"/>
        </w:rPr>
        <w:t>st</w:t>
      </w:r>
      <w:r>
        <w:rPr>
          <w:u w:val="single"/>
        </w:rPr>
        <w:t xml:space="preserve"> of September</w:t>
      </w:r>
      <w:r>
        <w:t xml:space="preserve">. I understand that the deadline is very tight, but, together with my </w:t>
      </w:r>
      <w:proofErr w:type="gramStart"/>
      <w:r>
        <w:t>colleagues</w:t>
      </w:r>
      <w:proofErr w:type="gramEnd"/>
      <w:r>
        <w:t xml:space="preserve"> shadow rapporteurs, we very much count on your input.</w:t>
      </w:r>
    </w:p>
    <w:p w14:paraId="22235E19" w14:textId="77777777" w:rsidR="00DE0018" w:rsidRDefault="00DE0018" w:rsidP="00DE0018">
      <w:r>
        <w:t> </w:t>
      </w:r>
    </w:p>
    <w:p w14:paraId="41DDAC44" w14:textId="77777777" w:rsidR="00DE0018" w:rsidRDefault="00DE0018" w:rsidP="00DE0018">
      <w:r>
        <w:t>You will find both the Commission proposal and the European Parliament's one on targets below.</w:t>
      </w:r>
    </w:p>
    <w:p w14:paraId="7026759B" w14:textId="77777777" w:rsidR="00DE0018" w:rsidRDefault="00DE0018" w:rsidP="00DE0018">
      <w:r>
        <w:t>The Commission suggestion on" mesh sizes" is enclosed.</w:t>
      </w:r>
    </w:p>
    <w:p w14:paraId="0E7AB166" w14:textId="77777777" w:rsidR="00DE0018" w:rsidRDefault="00DE0018" w:rsidP="00DE0018">
      <w:r>
        <w:lastRenderedPageBreak/>
        <w:t> </w:t>
      </w:r>
    </w:p>
    <w:p w14:paraId="13F453B9" w14:textId="77777777" w:rsidR="00DE0018" w:rsidRDefault="00DE0018" w:rsidP="00DE0018">
      <w:r>
        <w:t>Thank you very much in advance.</w:t>
      </w:r>
    </w:p>
    <w:p w14:paraId="1F3CA67E" w14:textId="77777777" w:rsidR="00DE0018" w:rsidRDefault="00DE0018" w:rsidP="00DE0018">
      <w:r>
        <w:t> </w:t>
      </w:r>
    </w:p>
    <w:p w14:paraId="74CBF1C8" w14:textId="77777777" w:rsidR="00DE0018" w:rsidRDefault="00DE0018" w:rsidP="00DE0018">
      <w:r>
        <w:t>Best regards,</w:t>
      </w:r>
    </w:p>
    <w:p w14:paraId="4F0786D5" w14:textId="77777777" w:rsidR="00DE0018" w:rsidRDefault="00DE0018" w:rsidP="00DE0018">
      <w:r>
        <w:rPr>
          <w:sz w:val="22"/>
          <w:szCs w:val="22"/>
        </w:rPr>
        <w:t>Gabriel Mato</w:t>
      </w:r>
    </w:p>
    <w:p w14:paraId="6ECC78E9" w14:textId="77777777" w:rsidR="00DE0018" w:rsidRDefault="00DE0018" w:rsidP="00DE0018">
      <w:r>
        <w:rPr>
          <w:sz w:val="22"/>
          <w:szCs w:val="22"/>
        </w:rPr>
        <w:t> </w:t>
      </w:r>
    </w:p>
    <w:tbl>
      <w:tblPr>
        <w:tblW w:w="5325" w:type="dxa"/>
        <w:tblCellSpacing w:w="7" w:type="dxa"/>
        <w:tblBorders>
          <w:top w:val="single" w:sz="8" w:space="0" w:color="D5E6F8"/>
          <w:left w:val="single" w:sz="8" w:space="0" w:color="D5E6F8"/>
          <w:bottom w:val="single" w:sz="8" w:space="0" w:color="D5E6F8"/>
          <w:right w:val="single" w:sz="8" w:space="0" w:color="D5E6F8"/>
        </w:tblBorders>
        <w:shd w:val="clear" w:color="auto" w:fill="FFFFFF"/>
        <w:tblCellMar>
          <w:left w:w="0" w:type="dxa"/>
          <w:right w:w="0" w:type="dxa"/>
        </w:tblCellMar>
        <w:tblLook w:val="04A0" w:firstRow="1" w:lastRow="0" w:firstColumn="1" w:lastColumn="0" w:noHBand="0" w:noVBand="1"/>
      </w:tblPr>
      <w:tblGrid>
        <w:gridCol w:w="291"/>
        <w:gridCol w:w="5034"/>
      </w:tblGrid>
      <w:tr w:rsidR="00DE0018" w14:paraId="189D99AE" w14:textId="77777777" w:rsidTr="00DE0018">
        <w:trPr>
          <w:tblCellSpacing w:w="7" w:type="dxa"/>
        </w:trPr>
        <w:tc>
          <w:tcPr>
            <w:tcW w:w="270" w:type="dxa"/>
            <w:tcBorders>
              <w:top w:val="nil"/>
              <w:left w:val="nil"/>
              <w:bottom w:val="nil"/>
              <w:right w:val="nil"/>
            </w:tcBorders>
            <w:shd w:val="clear" w:color="auto" w:fill="FFFFFF"/>
            <w:hideMark/>
          </w:tcPr>
          <w:p w14:paraId="35477330" w14:textId="77777777" w:rsidR="00DE0018" w:rsidRDefault="00DE0018"/>
        </w:tc>
        <w:tc>
          <w:tcPr>
            <w:tcW w:w="0" w:type="auto"/>
            <w:tcBorders>
              <w:top w:val="nil"/>
              <w:left w:val="nil"/>
              <w:bottom w:val="nil"/>
              <w:right w:val="nil"/>
            </w:tcBorders>
            <w:shd w:val="clear" w:color="auto" w:fill="FFFFFF"/>
            <w:hideMark/>
          </w:tcPr>
          <w:p w14:paraId="111ACBB0" w14:textId="77777777" w:rsidR="00DE0018" w:rsidRDefault="00DE0018">
            <w:pPr>
              <w:spacing w:line="165" w:lineRule="atLeast"/>
            </w:pPr>
            <w:r>
              <w:rPr>
                <w:sz w:val="17"/>
                <w:szCs w:val="17"/>
                <w:lang w:eastAsia="en-GB"/>
              </w:rPr>
              <w:t> </w:t>
            </w:r>
          </w:p>
          <w:p w14:paraId="4C04CAD8" w14:textId="77777777" w:rsidR="00DE0018" w:rsidRDefault="00DE0018">
            <w:r>
              <w:rPr>
                <w:rFonts w:ascii="Arial" w:hAnsi="Arial" w:cs="Arial"/>
                <w:b/>
                <w:bCs/>
                <w:color w:val="024BB5"/>
                <w:sz w:val="23"/>
                <w:szCs w:val="23"/>
                <w:lang w:eastAsia="en-GB"/>
              </w:rPr>
              <w:t>Gabriel MATO</w:t>
            </w:r>
            <w:r>
              <w:rPr>
                <w:rFonts w:ascii="Arial" w:hAnsi="Arial" w:cs="Arial"/>
                <w:b/>
                <w:bCs/>
                <w:color w:val="024BB5"/>
                <w:sz w:val="23"/>
                <w:szCs w:val="23"/>
                <w:lang w:eastAsia="en-GB"/>
              </w:rPr>
              <w:br/>
            </w:r>
            <w:r>
              <w:rPr>
                <w:rFonts w:ascii="Arial" w:hAnsi="Arial" w:cs="Arial"/>
                <w:color w:val="024BB5"/>
                <w:sz w:val="21"/>
                <w:szCs w:val="21"/>
                <w:lang w:eastAsia="en-GB"/>
              </w:rPr>
              <w:t xml:space="preserve">Member of the European Parliament </w:t>
            </w:r>
          </w:p>
          <w:p w14:paraId="6EE6AB3D" w14:textId="77777777" w:rsidR="00DE0018" w:rsidRDefault="00DE0018">
            <w:pPr>
              <w:spacing w:line="105" w:lineRule="atLeast"/>
            </w:pPr>
            <w:r>
              <w:rPr>
                <w:sz w:val="11"/>
                <w:szCs w:val="11"/>
                <w:lang w:eastAsia="en-GB"/>
              </w:rPr>
              <w:t> </w:t>
            </w:r>
          </w:p>
          <w:p w14:paraId="22443D25" w14:textId="77777777" w:rsidR="00DE0018" w:rsidRDefault="00DE0018">
            <w:r>
              <w:rPr>
                <w:rFonts w:ascii="Arial" w:hAnsi="Arial" w:cs="Arial"/>
                <w:color w:val="024BB5"/>
                <w:sz w:val="17"/>
                <w:szCs w:val="17"/>
                <w:lang w:eastAsia="en-GB"/>
              </w:rPr>
              <w:t xml:space="preserve">Coordinator of the EPP Group for the Committee on Fisheries </w:t>
            </w:r>
          </w:p>
          <w:p w14:paraId="2EEA8331" w14:textId="77777777" w:rsidR="00DE0018" w:rsidRDefault="00DE0018">
            <w:r>
              <w:rPr>
                <w:rFonts w:ascii="Arial" w:hAnsi="Arial" w:cs="Arial"/>
                <w:color w:val="024BB5"/>
                <w:sz w:val="17"/>
                <w:szCs w:val="17"/>
                <w:lang w:eastAsia="en-GB"/>
              </w:rPr>
              <w:t xml:space="preserve">Vice-Chair of the Delegation for relations with the countries of Central America </w:t>
            </w:r>
          </w:p>
          <w:p w14:paraId="75B7C4F7" w14:textId="77777777" w:rsidR="00DE0018" w:rsidRDefault="00DE0018">
            <w:r>
              <w:rPr>
                <w:rFonts w:ascii="Arial" w:hAnsi="Arial" w:cs="Arial"/>
                <w:color w:val="024BB5"/>
                <w:sz w:val="17"/>
                <w:szCs w:val="17"/>
                <w:lang w:eastAsia="en-GB"/>
              </w:rPr>
              <w:t>Member of the Committee on Economic and Monetary Affairs</w:t>
            </w:r>
          </w:p>
          <w:p w14:paraId="260C3397" w14:textId="77777777" w:rsidR="00DE0018" w:rsidRDefault="00DE0018">
            <w:r>
              <w:rPr>
                <w:rFonts w:ascii="Arial" w:hAnsi="Arial" w:cs="Arial"/>
                <w:color w:val="024BB5"/>
                <w:sz w:val="17"/>
                <w:szCs w:val="17"/>
                <w:lang w:eastAsia="en-GB"/>
              </w:rPr>
              <w:t> </w:t>
            </w:r>
          </w:p>
          <w:p w14:paraId="3D23E513" w14:textId="77777777" w:rsidR="00DE0018" w:rsidRDefault="00DE0018">
            <w:pPr>
              <w:spacing w:line="60" w:lineRule="atLeast"/>
            </w:pPr>
            <w:r>
              <w:rPr>
                <w:rFonts w:ascii="Times New Roman" w:hAnsi="Times New Roman" w:cs="Times New Roman"/>
                <w:sz w:val="6"/>
                <w:szCs w:val="6"/>
                <w:lang w:eastAsia="en-GB"/>
              </w:rPr>
              <w:t> </w:t>
            </w:r>
          </w:p>
          <w:p w14:paraId="2517CCBE" w14:textId="77777777" w:rsidR="00DE0018" w:rsidRDefault="000D728E">
            <w:hyperlink r:id="rId7" w:history="1">
              <w:r w:rsidR="00DE0018">
                <w:rPr>
                  <w:rStyle w:val="Hyperlink"/>
                  <w:rFonts w:ascii="Arial" w:hAnsi="Arial" w:cs="Arial"/>
                  <w:b/>
                  <w:bCs/>
                  <w:color w:val="0000FF"/>
                  <w:sz w:val="17"/>
                  <w:szCs w:val="17"/>
                  <w:lang w:eastAsia="en-GB"/>
                </w:rPr>
                <w:t>gabriel.mato@europarl.europa.eu</w:t>
              </w:r>
            </w:hyperlink>
            <w:r w:rsidR="00DE0018">
              <w:rPr>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503"/>
              <w:gridCol w:w="7"/>
              <w:gridCol w:w="2503"/>
            </w:tblGrid>
            <w:tr w:rsidR="00DE0018" w14:paraId="3954689C" w14:textId="77777777">
              <w:trPr>
                <w:tblCellSpacing w:w="0" w:type="dxa"/>
              </w:trPr>
              <w:tc>
                <w:tcPr>
                  <w:tcW w:w="2500" w:type="pct"/>
                  <w:hideMark/>
                </w:tcPr>
                <w:p w14:paraId="1D164967" w14:textId="77777777" w:rsidR="00DE0018" w:rsidRDefault="00DE0018"/>
              </w:tc>
              <w:tc>
                <w:tcPr>
                  <w:tcW w:w="0" w:type="auto"/>
                  <w:hideMark/>
                </w:tcPr>
                <w:p w14:paraId="7B0AA69E" w14:textId="77777777" w:rsidR="00DE0018" w:rsidRDefault="00DE0018">
                  <w:r>
                    <w:rPr>
                      <w:sz w:val="3"/>
                      <w:szCs w:val="3"/>
                      <w:lang w:eastAsia="en-GB"/>
                    </w:rPr>
                    <w:t> </w:t>
                  </w:r>
                </w:p>
              </w:tc>
              <w:tc>
                <w:tcPr>
                  <w:tcW w:w="2500" w:type="pct"/>
                  <w:hideMark/>
                </w:tcPr>
                <w:p w14:paraId="62A6F00F" w14:textId="77777777" w:rsidR="00DE0018" w:rsidRDefault="00DE0018"/>
              </w:tc>
            </w:tr>
          </w:tbl>
          <w:p w14:paraId="763DF77E" w14:textId="77777777" w:rsidR="00DE0018" w:rsidRDefault="00DE0018">
            <w:pPr>
              <w:spacing w:line="75" w:lineRule="atLeast"/>
            </w:pPr>
            <w:r>
              <w:rPr>
                <w:sz w:val="8"/>
                <w:szCs w:val="8"/>
                <w:lang w:eastAsia="en-GB"/>
              </w:rPr>
              <w:t> </w:t>
            </w:r>
          </w:p>
          <w:tbl>
            <w:tblPr>
              <w:tblW w:w="5000" w:type="pct"/>
              <w:tblCellSpacing w:w="0" w:type="dxa"/>
              <w:tblCellMar>
                <w:left w:w="0" w:type="dxa"/>
                <w:right w:w="0" w:type="dxa"/>
              </w:tblCellMar>
              <w:tblLook w:val="04A0" w:firstRow="1" w:lastRow="0" w:firstColumn="1" w:lastColumn="0" w:noHBand="0" w:noVBand="1"/>
            </w:tblPr>
            <w:tblGrid>
              <w:gridCol w:w="2479"/>
              <w:gridCol w:w="55"/>
              <w:gridCol w:w="2479"/>
            </w:tblGrid>
            <w:tr w:rsidR="00DE0018" w14:paraId="15C1CF4C" w14:textId="77777777">
              <w:trPr>
                <w:tblCellSpacing w:w="0" w:type="dxa"/>
              </w:trPr>
              <w:tc>
                <w:tcPr>
                  <w:tcW w:w="2500" w:type="pct"/>
                  <w:noWrap/>
                  <w:hideMark/>
                </w:tcPr>
                <w:p w14:paraId="424CA046" w14:textId="77777777" w:rsidR="00DE0018" w:rsidRDefault="00DE0018">
                  <w:pPr>
                    <w:spacing w:after="240" w:line="225" w:lineRule="atLeast"/>
                  </w:pPr>
                  <w:r>
                    <w:rPr>
                      <w:rFonts w:ascii="Arial" w:hAnsi="Arial" w:cs="Arial"/>
                      <w:color w:val="666666"/>
                      <w:sz w:val="18"/>
                      <w:szCs w:val="18"/>
                      <w:lang w:eastAsia="en-GB"/>
                    </w:rPr>
                    <w:t>ASP 11E102</w:t>
                  </w:r>
                  <w:r>
                    <w:rPr>
                      <w:rFonts w:ascii="Arial" w:hAnsi="Arial" w:cs="Arial"/>
                      <w:color w:val="666666"/>
                      <w:sz w:val="18"/>
                      <w:szCs w:val="18"/>
                      <w:lang w:eastAsia="en-GB"/>
                    </w:rPr>
                    <w:br/>
                    <w:t xml:space="preserve">Rue </w:t>
                  </w:r>
                  <w:proofErr w:type="spellStart"/>
                  <w:r>
                    <w:rPr>
                      <w:rFonts w:ascii="Arial" w:hAnsi="Arial" w:cs="Arial"/>
                      <w:color w:val="666666"/>
                      <w:sz w:val="18"/>
                      <w:szCs w:val="18"/>
                      <w:lang w:eastAsia="en-GB"/>
                    </w:rPr>
                    <w:t>Wiertz</w:t>
                  </w:r>
                  <w:proofErr w:type="spellEnd"/>
                  <w:r>
                    <w:rPr>
                      <w:rFonts w:ascii="Arial" w:hAnsi="Arial" w:cs="Arial"/>
                      <w:color w:val="666666"/>
                      <w:sz w:val="18"/>
                      <w:szCs w:val="18"/>
                      <w:lang w:eastAsia="en-GB"/>
                    </w:rPr>
                    <w:t xml:space="preserve"> </w:t>
                  </w:r>
                  <w:r>
                    <w:rPr>
                      <w:rFonts w:ascii="Arial" w:hAnsi="Arial" w:cs="Arial"/>
                      <w:color w:val="666666"/>
                      <w:sz w:val="18"/>
                      <w:szCs w:val="18"/>
                      <w:lang w:eastAsia="en-GB"/>
                    </w:rPr>
                    <w:br/>
                    <w:t xml:space="preserve">B-1047 </w:t>
                  </w:r>
                  <w:proofErr w:type="spellStart"/>
                  <w:r>
                    <w:rPr>
                      <w:rFonts w:ascii="Arial" w:hAnsi="Arial" w:cs="Arial"/>
                      <w:color w:val="666666"/>
                      <w:sz w:val="18"/>
                      <w:szCs w:val="18"/>
                      <w:lang w:eastAsia="en-GB"/>
                    </w:rPr>
                    <w:t>Bruxelles</w:t>
                  </w:r>
                  <w:proofErr w:type="spellEnd"/>
                  <w:r>
                    <w:rPr>
                      <w:rFonts w:ascii="Arial" w:hAnsi="Arial" w:cs="Arial"/>
                      <w:color w:val="666666"/>
                      <w:sz w:val="18"/>
                      <w:szCs w:val="18"/>
                      <w:lang w:eastAsia="en-GB"/>
                    </w:rPr>
                    <w:br/>
                  </w:r>
                  <w:hyperlink r:id="rId8" w:history="1">
                    <w:r>
                      <w:rPr>
                        <w:rStyle w:val="Hyperlink"/>
                        <w:rFonts w:ascii="Arial" w:hAnsi="Arial" w:cs="Arial"/>
                        <w:color w:val="666666"/>
                        <w:sz w:val="18"/>
                        <w:szCs w:val="18"/>
                        <w:u w:val="none"/>
                        <w:lang w:eastAsia="en-GB"/>
                      </w:rPr>
                      <w:t>Phone: +32 2 28 45237</w:t>
                    </w:r>
                  </w:hyperlink>
                </w:p>
              </w:tc>
              <w:tc>
                <w:tcPr>
                  <w:tcW w:w="0" w:type="auto"/>
                  <w:hideMark/>
                </w:tcPr>
                <w:p w14:paraId="10AD6EE1" w14:textId="77777777" w:rsidR="00DE0018" w:rsidRDefault="00DE0018">
                  <w:r>
                    <w:rPr>
                      <w:lang w:eastAsia="en-GB"/>
                    </w:rPr>
                    <w:t> </w:t>
                  </w:r>
                </w:p>
              </w:tc>
              <w:tc>
                <w:tcPr>
                  <w:tcW w:w="2500" w:type="pct"/>
                  <w:noWrap/>
                  <w:hideMark/>
                </w:tcPr>
                <w:p w14:paraId="68837238" w14:textId="77777777" w:rsidR="00DE0018" w:rsidRDefault="00DE0018">
                  <w:pPr>
                    <w:spacing w:line="225" w:lineRule="atLeast"/>
                  </w:pPr>
                  <w:r>
                    <w:rPr>
                      <w:rFonts w:ascii="Arial" w:hAnsi="Arial" w:cs="Arial"/>
                      <w:color w:val="666666"/>
                      <w:sz w:val="18"/>
                      <w:szCs w:val="18"/>
                      <w:lang w:val="fr-FR" w:eastAsia="en-GB"/>
                    </w:rPr>
                    <w:t>LOW T09147</w:t>
                  </w:r>
                  <w:r>
                    <w:rPr>
                      <w:rFonts w:ascii="Arial" w:hAnsi="Arial" w:cs="Arial"/>
                      <w:color w:val="666666"/>
                      <w:sz w:val="18"/>
                      <w:szCs w:val="18"/>
                      <w:lang w:val="fr-FR" w:eastAsia="en-GB"/>
                    </w:rPr>
                    <w:br/>
                    <w:t>Allée du Printemps</w:t>
                  </w:r>
                  <w:r>
                    <w:rPr>
                      <w:rFonts w:ascii="Arial" w:hAnsi="Arial" w:cs="Arial"/>
                      <w:color w:val="666666"/>
                      <w:sz w:val="18"/>
                      <w:szCs w:val="18"/>
                      <w:lang w:val="fr-FR" w:eastAsia="en-GB"/>
                    </w:rPr>
                    <w:br/>
                    <w:t>F-67070 Strasbourg</w:t>
                  </w:r>
                  <w:r>
                    <w:rPr>
                      <w:rFonts w:ascii="Arial" w:hAnsi="Arial" w:cs="Arial"/>
                      <w:color w:val="666666"/>
                      <w:sz w:val="18"/>
                      <w:szCs w:val="18"/>
                      <w:lang w:val="fr-FR" w:eastAsia="en-GB"/>
                    </w:rPr>
                    <w:br/>
                  </w:r>
                  <w:hyperlink r:id="rId9" w:history="1">
                    <w:proofErr w:type="gramStart"/>
                    <w:r>
                      <w:rPr>
                        <w:rStyle w:val="Hyperlink"/>
                        <w:rFonts w:ascii="Arial" w:hAnsi="Arial" w:cs="Arial"/>
                        <w:color w:val="666666"/>
                        <w:sz w:val="18"/>
                        <w:szCs w:val="18"/>
                        <w:u w:val="none"/>
                        <w:lang w:val="fr-FR" w:eastAsia="en-GB"/>
                      </w:rPr>
                      <w:t>Phone:</w:t>
                    </w:r>
                    <w:proofErr w:type="gramEnd"/>
                    <w:r>
                      <w:rPr>
                        <w:rStyle w:val="Hyperlink"/>
                        <w:rFonts w:ascii="Arial" w:hAnsi="Arial" w:cs="Arial"/>
                        <w:color w:val="666666"/>
                        <w:sz w:val="18"/>
                        <w:szCs w:val="18"/>
                        <w:u w:val="none"/>
                        <w:lang w:val="fr-FR" w:eastAsia="en-GB"/>
                      </w:rPr>
                      <w:t xml:space="preserve"> +33 3 881 7523</w:t>
                    </w:r>
                  </w:hyperlink>
                  <w:r>
                    <w:rPr>
                      <w:rFonts w:ascii="Arial" w:hAnsi="Arial" w:cs="Arial"/>
                      <w:color w:val="666666"/>
                      <w:sz w:val="18"/>
                      <w:szCs w:val="18"/>
                      <w:lang w:val="fr-FR" w:eastAsia="en-GB"/>
                    </w:rPr>
                    <w:t>7</w:t>
                  </w:r>
                </w:p>
              </w:tc>
            </w:tr>
          </w:tbl>
          <w:p w14:paraId="473A613D" w14:textId="77777777" w:rsidR="00DE0018" w:rsidRDefault="00DE0018">
            <w:r>
              <w:rPr>
                <w:rFonts w:ascii="Times New Roman" w:hAnsi="Times New Roman" w:cs="Times New Roman"/>
                <w:vanish/>
                <w:lang w:eastAsia="en-GB"/>
              </w:rPr>
              <w:t> </w:t>
            </w:r>
          </w:p>
          <w:tbl>
            <w:tblPr>
              <w:tblW w:w="5000" w:type="pct"/>
              <w:tblCellSpacing w:w="0" w:type="dxa"/>
              <w:tblCellMar>
                <w:left w:w="0" w:type="dxa"/>
                <w:right w:w="0" w:type="dxa"/>
              </w:tblCellMar>
              <w:tblLook w:val="04A0" w:firstRow="1" w:lastRow="0" w:firstColumn="1" w:lastColumn="0" w:noHBand="0" w:noVBand="1"/>
            </w:tblPr>
            <w:tblGrid>
              <w:gridCol w:w="5013"/>
            </w:tblGrid>
            <w:tr w:rsidR="00DE0018" w14:paraId="1AB2C65D" w14:textId="77777777">
              <w:trPr>
                <w:tblCellSpacing w:w="0" w:type="dxa"/>
              </w:trPr>
              <w:tc>
                <w:tcPr>
                  <w:tcW w:w="0" w:type="auto"/>
                  <w:vAlign w:val="bottom"/>
                  <w:hideMark/>
                </w:tcPr>
                <w:p w14:paraId="25B137B4" w14:textId="77777777" w:rsidR="00DE0018" w:rsidRDefault="00DE0018"/>
              </w:tc>
            </w:tr>
          </w:tbl>
          <w:p w14:paraId="5770ACAF" w14:textId="77777777" w:rsidR="00DE0018" w:rsidRDefault="00DE0018">
            <w:pPr>
              <w:rPr>
                <w:rFonts w:ascii="Times New Roman" w:eastAsia="Times New Roman" w:hAnsi="Times New Roman" w:cs="Times New Roman"/>
                <w:sz w:val="20"/>
                <w:szCs w:val="20"/>
              </w:rPr>
            </w:pPr>
          </w:p>
        </w:tc>
      </w:tr>
    </w:tbl>
    <w:p w14:paraId="711D7576" w14:textId="77777777" w:rsidR="00DE0018" w:rsidRDefault="00DE0018"/>
    <w:sectPr w:rsidR="00DE0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18"/>
    <w:rsid w:val="000D728E"/>
    <w:rsid w:val="00753AD4"/>
    <w:rsid w:val="008F4C84"/>
    <w:rsid w:val="00DE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B886"/>
  <w15:chartTrackingRefBased/>
  <w15:docId w15:val="{BEC26053-826D-45FB-B5CE-6CF6B7D0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018"/>
    <w:pPr>
      <w:spacing w:after="0" w:line="240" w:lineRule="auto"/>
    </w:pPr>
    <w:rPr>
      <w:rFonts w:ascii="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0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02%2028%2041527" TargetMode="External"/><Relationship Id="rId3" Type="http://schemas.openxmlformats.org/officeDocument/2006/relationships/customXml" Target="../customXml/item3.xml"/><Relationship Id="rId7" Type="http://schemas.openxmlformats.org/officeDocument/2006/relationships/hyperlink" Target="mailto:gabriel.mato@europarl.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tel:+33%203%20881%2074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44BFF-918A-4814-8F12-4718FAB8C1F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ed8726f-3b78-431b-8f7a-7949c9f1402e"/>
    <ds:schemaRef ds:uri="http://purl.org/dc/elements/1.1/"/>
    <ds:schemaRef ds:uri="http://schemas.microsoft.com/office/infopath/2007/PartnerControls"/>
    <ds:schemaRef ds:uri="9b5e8e2c-a7f2-400f-b01b-7246cd0b8223"/>
    <ds:schemaRef ds:uri="http://www.w3.org/XML/1998/namespace"/>
    <ds:schemaRef ds:uri="http://purl.org/dc/dcmitype/"/>
  </ds:schemaRefs>
</ds:datastoreItem>
</file>

<file path=customXml/itemProps2.xml><?xml version="1.0" encoding="utf-8"?>
<ds:datastoreItem xmlns:ds="http://schemas.openxmlformats.org/officeDocument/2006/customXml" ds:itemID="{BAF94212-9D1E-4E37-BFC6-7A6A5B1C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84042-9DAC-4456-802F-0D15550D3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Duguid</dc:creator>
  <cp:keywords/>
  <dc:description/>
  <cp:lastModifiedBy>Lorna Duguid</cp:lastModifiedBy>
  <cp:revision>3</cp:revision>
  <dcterms:created xsi:type="dcterms:W3CDTF">2018-07-02T14:32:00Z</dcterms:created>
  <dcterms:modified xsi:type="dcterms:W3CDTF">2018-07-02T14:42:00Z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